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51E5" w14:textId="45A04F79" w:rsidR="00C311C5" w:rsidRDefault="00C311C5" w:rsidP="00043536">
      <w:pPr>
        <w:jc w:val="center"/>
        <w:rPr>
          <w:rFonts w:ascii="Arial" w:hAnsi="Arial" w:cs="Arial"/>
          <w:b/>
        </w:rPr>
      </w:pPr>
    </w:p>
    <w:p w14:paraId="7406E571" w14:textId="3215A641" w:rsidR="00C311C5" w:rsidRDefault="00C311C5" w:rsidP="00043536">
      <w:pPr>
        <w:jc w:val="center"/>
        <w:rPr>
          <w:rFonts w:ascii="Arial" w:hAnsi="Arial" w:cs="Arial"/>
          <w:b/>
        </w:rPr>
      </w:pPr>
      <w:r w:rsidRPr="00B6650D">
        <w:rPr>
          <w:rFonts w:ascii="Univers" w:hAnsi="Univers"/>
          <w:b/>
          <w:noProof/>
          <w:u w:val="single"/>
        </w:rPr>
        <mc:AlternateContent>
          <mc:Choice Requires="wps">
            <w:drawing>
              <wp:anchor distT="45720" distB="45720" distL="114300" distR="114300" simplePos="0" relativeHeight="251661312" behindDoc="0" locked="0" layoutInCell="1" allowOverlap="1" wp14:anchorId="63BC81BB" wp14:editId="041A04E4">
                <wp:simplePos x="0" y="0"/>
                <wp:positionH relativeFrom="column">
                  <wp:posOffset>965200</wp:posOffset>
                </wp:positionH>
                <wp:positionV relativeFrom="paragraph">
                  <wp:posOffset>8890</wp:posOffset>
                </wp:positionV>
                <wp:extent cx="3676650" cy="80645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06450"/>
                        </a:xfrm>
                        <a:prstGeom prst="rect">
                          <a:avLst/>
                        </a:prstGeom>
                        <a:solidFill>
                          <a:srgbClr val="FFFFFF"/>
                        </a:solidFill>
                        <a:ln w="9525">
                          <a:solidFill>
                            <a:srgbClr val="000000"/>
                          </a:solidFill>
                          <a:miter lim="800000"/>
                          <a:headEnd/>
                          <a:tailEnd/>
                        </a:ln>
                      </wps:spPr>
                      <wps:txbx>
                        <w:txbxContent>
                          <w:p w14:paraId="26A9D1B7" w14:textId="77777777" w:rsidR="00A72378" w:rsidRDefault="00C311C5" w:rsidP="00C311C5">
                            <w:pPr>
                              <w:rPr>
                                <w:highlight w:val="yellow"/>
                              </w:rPr>
                            </w:pPr>
                            <w:r w:rsidRPr="00D4632D">
                              <w:rPr>
                                <w:highlight w:val="yellow"/>
                              </w:rPr>
                              <w:t xml:space="preserve">For </w:t>
                            </w:r>
                            <w:r>
                              <w:rPr>
                                <w:highlight w:val="yellow"/>
                              </w:rPr>
                              <w:t xml:space="preserve">Regulation Subcommittee </w:t>
                            </w:r>
                            <w:r w:rsidR="00A72378">
                              <w:rPr>
                                <w:highlight w:val="yellow"/>
                              </w:rPr>
                              <w:t>review January 18, 2022</w:t>
                            </w:r>
                            <w:r w:rsidRPr="00D4632D">
                              <w:rPr>
                                <w:highlight w:val="yellow"/>
                              </w:rPr>
                              <w:t xml:space="preserve">. </w:t>
                            </w:r>
                          </w:p>
                          <w:p w14:paraId="412AAC7F" w14:textId="46D64F37" w:rsidR="00C311C5" w:rsidRDefault="00C311C5" w:rsidP="00C311C5">
                            <w:r>
                              <w:rPr>
                                <w:highlight w:val="yellow"/>
                              </w:rPr>
                              <w:t>The Air Program</w:t>
                            </w:r>
                            <w:r w:rsidRPr="00D4632D">
                              <w:rPr>
                                <w:highlight w:val="yellow"/>
                              </w:rPr>
                              <w:t xml:space="preserve"> is </w:t>
                            </w:r>
                            <w:r>
                              <w:rPr>
                                <w:highlight w:val="yellow"/>
                              </w:rPr>
                              <w:t xml:space="preserve">in the beginning stages of regulation review -- </w:t>
                            </w:r>
                            <w:r w:rsidRPr="00D4632D">
                              <w:rPr>
                                <w:highlight w:val="yellow"/>
                              </w:rPr>
                              <w:t xml:space="preserve">seeking </w:t>
                            </w:r>
                            <w:r>
                              <w:rPr>
                                <w:highlight w:val="yellow"/>
                              </w:rPr>
                              <w:t xml:space="preserve">Board of Health </w:t>
                            </w:r>
                            <w:r w:rsidRPr="00D4632D">
                              <w:rPr>
                                <w:highlight w:val="yellow"/>
                              </w:rPr>
                              <w:t xml:space="preserve"> </w:t>
                            </w:r>
                            <w:r w:rsidRPr="00C311C5">
                              <w:rPr>
                                <w:highlight w:val="yellow"/>
                              </w:rPr>
                              <w:t>approval to take this to public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C81BB" id="_x0000_t202" coordsize="21600,21600" o:spt="202" path="m,l,21600r21600,l21600,xe">
                <v:stroke joinstyle="miter"/>
                <v:path gradientshapeok="t" o:connecttype="rect"/>
              </v:shapetype>
              <v:shape id="Text Box 2" o:spid="_x0000_s1026" type="#_x0000_t202" style="position:absolute;left:0;text-align:left;margin-left:76pt;margin-top:.7pt;width:289.5pt;height: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">
                <v:textbox>
                  <w:txbxContent>
                    <w:p w14:paraId="26A9D1B7" w14:textId="77777777" w:rsidR="00A72378" w:rsidRDefault="00C311C5" w:rsidP="00C311C5">
                      <w:pPr>
                        <w:rPr>
                          <w:highlight w:val="yellow"/>
                        </w:rPr>
                      </w:pPr>
                      <w:r w:rsidRPr="00D4632D">
                        <w:rPr>
                          <w:highlight w:val="yellow"/>
                        </w:rPr>
                        <w:t xml:space="preserve">For </w:t>
                      </w:r>
                      <w:r>
                        <w:rPr>
                          <w:highlight w:val="yellow"/>
                        </w:rPr>
                        <w:t xml:space="preserve">Regulation Subcommittee </w:t>
                      </w:r>
                      <w:r w:rsidR="00A72378">
                        <w:rPr>
                          <w:highlight w:val="yellow"/>
                        </w:rPr>
                        <w:t xml:space="preserve">review </w:t>
                      </w:r>
                      <w:r w:rsidR="00A72378">
                        <w:rPr>
                          <w:highlight w:val="yellow"/>
                        </w:rPr>
                        <w:t xml:space="preserve">January 18, </w:t>
                      </w:r>
                      <w:r w:rsidR="00A72378">
                        <w:rPr>
                          <w:highlight w:val="yellow"/>
                        </w:rPr>
                        <w:t>2022</w:t>
                      </w:r>
                      <w:r w:rsidRPr="00D4632D">
                        <w:rPr>
                          <w:highlight w:val="yellow"/>
                        </w:rPr>
                        <w:t xml:space="preserve">. </w:t>
                      </w:r>
                    </w:p>
                    <w:p w14:paraId="412AAC7F" w14:textId="46D64F37" w:rsidR="00C311C5" w:rsidRDefault="00C311C5" w:rsidP="00C311C5">
                      <w:r>
                        <w:rPr>
                          <w:highlight w:val="yellow"/>
                        </w:rPr>
                        <w:t>The Air Program</w:t>
                      </w:r>
                      <w:r w:rsidRPr="00D4632D">
                        <w:rPr>
                          <w:highlight w:val="yellow"/>
                        </w:rPr>
                        <w:t xml:space="preserve"> is </w:t>
                      </w:r>
                      <w:r>
                        <w:rPr>
                          <w:highlight w:val="yellow"/>
                        </w:rPr>
                        <w:t xml:space="preserve">in the beginning stages of regulation review -- </w:t>
                      </w:r>
                      <w:r w:rsidRPr="00D4632D">
                        <w:rPr>
                          <w:highlight w:val="yellow"/>
                        </w:rPr>
                        <w:t xml:space="preserve">seeking </w:t>
                      </w:r>
                      <w:r>
                        <w:rPr>
                          <w:highlight w:val="yellow"/>
                        </w:rPr>
                        <w:t xml:space="preserve">Board of Health </w:t>
                      </w:r>
                      <w:r w:rsidRPr="00D4632D">
                        <w:rPr>
                          <w:highlight w:val="yellow"/>
                        </w:rPr>
                        <w:t xml:space="preserve"> </w:t>
                      </w:r>
                      <w:r w:rsidRPr="00C311C5">
                        <w:rPr>
                          <w:highlight w:val="yellow"/>
                        </w:rPr>
                        <w:t>approval</w:t>
                      </w:r>
                      <w:r w:rsidRPr="00C311C5">
                        <w:rPr>
                          <w:highlight w:val="yellow"/>
                        </w:rPr>
                        <w:t xml:space="preserve"> to take this to public comment.</w:t>
                      </w:r>
                    </w:p>
                  </w:txbxContent>
                </v:textbox>
                <w10:wrap type="square"/>
              </v:shape>
            </w:pict>
          </mc:Fallback>
        </mc:AlternateContent>
      </w:r>
    </w:p>
    <w:p w14:paraId="2F650D1A" w14:textId="52B46A0C" w:rsidR="00C311C5" w:rsidRDefault="00C311C5" w:rsidP="00043536">
      <w:pPr>
        <w:jc w:val="center"/>
        <w:rPr>
          <w:rFonts w:ascii="Arial" w:hAnsi="Arial" w:cs="Arial"/>
          <w:b/>
        </w:rPr>
      </w:pPr>
    </w:p>
    <w:p w14:paraId="6E5532C3" w14:textId="55894BF7" w:rsidR="00C311C5" w:rsidRDefault="00C311C5" w:rsidP="00043536">
      <w:pPr>
        <w:jc w:val="center"/>
        <w:rPr>
          <w:rFonts w:ascii="Arial" w:hAnsi="Arial" w:cs="Arial"/>
          <w:b/>
        </w:rPr>
      </w:pPr>
    </w:p>
    <w:p w14:paraId="0F341694" w14:textId="5C52E90E" w:rsidR="00C311C5" w:rsidRDefault="00C311C5" w:rsidP="00043536">
      <w:pPr>
        <w:jc w:val="center"/>
        <w:rPr>
          <w:rFonts w:ascii="Arial" w:hAnsi="Arial" w:cs="Arial"/>
          <w:b/>
        </w:rPr>
      </w:pPr>
    </w:p>
    <w:p w14:paraId="73C3AE40" w14:textId="77777777" w:rsidR="00C311C5" w:rsidRDefault="00C311C5" w:rsidP="00043536">
      <w:pPr>
        <w:jc w:val="center"/>
        <w:rPr>
          <w:rFonts w:ascii="Arial" w:hAnsi="Arial" w:cs="Arial"/>
          <w:b/>
        </w:rPr>
      </w:pPr>
    </w:p>
    <w:p w14:paraId="718973C1" w14:textId="77777777" w:rsidR="00C311C5" w:rsidRDefault="00C311C5" w:rsidP="00043536">
      <w:pPr>
        <w:jc w:val="center"/>
        <w:rPr>
          <w:rFonts w:ascii="Arial" w:hAnsi="Arial" w:cs="Arial"/>
          <w:b/>
        </w:rPr>
      </w:pPr>
    </w:p>
    <w:p w14:paraId="744DF714" w14:textId="479D1DB5" w:rsidR="00043536" w:rsidRDefault="00043536" w:rsidP="00043536">
      <w:pPr>
        <w:jc w:val="center"/>
        <w:rPr>
          <w:rFonts w:ascii="Arial" w:hAnsi="Arial" w:cs="Arial"/>
          <w:b/>
        </w:rPr>
      </w:pPr>
      <w:r>
        <w:rPr>
          <w:rFonts w:ascii="Arial" w:hAnsi="Arial" w:cs="Arial"/>
          <w:b/>
        </w:rPr>
        <w:t xml:space="preserve">Proposed </w:t>
      </w:r>
    </w:p>
    <w:p w14:paraId="6E0CBFB6" w14:textId="77777777" w:rsidR="00043536" w:rsidRDefault="00043536" w:rsidP="00043536">
      <w:pPr>
        <w:jc w:val="center"/>
        <w:rPr>
          <w:rFonts w:ascii="Arial" w:hAnsi="Arial" w:cs="Arial"/>
          <w:b/>
        </w:rPr>
      </w:pPr>
    </w:p>
    <w:p w14:paraId="7A239649" w14:textId="77777777" w:rsidR="00043536" w:rsidRDefault="00043536" w:rsidP="00043536">
      <w:pPr>
        <w:jc w:val="center"/>
        <w:rPr>
          <w:rFonts w:ascii="Arial" w:hAnsi="Arial" w:cs="Arial"/>
          <w:b/>
        </w:rPr>
      </w:pPr>
      <w:r>
        <w:rPr>
          <w:rFonts w:ascii="Arial" w:hAnsi="Arial" w:cs="Arial"/>
          <w:b/>
        </w:rPr>
        <w:t xml:space="preserve">Revision to </w:t>
      </w:r>
      <w:smartTag w:uri="urn:schemas-microsoft-com:office:smarttags" w:element="place">
        <w:smartTag w:uri="urn:schemas-microsoft-com:office:smarttags" w:element="PlaceName">
          <w:r>
            <w:rPr>
              <w:rFonts w:ascii="Arial" w:hAnsi="Arial" w:cs="Arial"/>
              <w:b/>
            </w:rPr>
            <w:t>ALLEGHENY</w:t>
          </w:r>
        </w:smartTag>
        <w:r>
          <w:rPr>
            <w:rFonts w:ascii="Arial" w:hAnsi="Arial" w:cs="Arial"/>
            <w:b/>
          </w:rPr>
          <w:t xml:space="preserve"> </w:t>
        </w:r>
        <w:smartTag w:uri="urn:schemas-microsoft-com:office:smarttags" w:element="PlaceType">
          <w:r>
            <w:rPr>
              <w:rFonts w:ascii="Arial" w:hAnsi="Arial" w:cs="Arial"/>
              <w:b/>
            </w:rPr>
            <w:t>COUNTY</w:t>
          </w:r>
        </w:smartTag>
      </w:smartTag>
      <w:r>
        <w:rPr>
          <w:rFonts w:ascii="Arial" w:hAnsi="Arial" w:cs="Arial"/>
          <w:b/>
        </w:rPr>
        <w:t>’S portion of the</w:t>
      </w:r>
    </w:p>
    <w:p w14:paraId="42496163" w14:textId="77777777" w:rsidR="00043536" w:rsidRDefault="00043536" w:rsidP="00043536">
      <w:pPr>
        <w:jc w:val="center"/>
        <w:rPr>
          <w:rFonts w:ascii="Arial" w:hAnsi="Arial" w:cs="Arial"/>
          <w:b/>
        </w:rPr>
      </w:pPr>
    </w:p>
    <w:p w14:paraId="1429D7FA" w14:textId="77777777" w:rsidR="00043536" w:rsidRDefault="00043536" w:rsidP="00043536">
      <w:pPr>
        <w:jc w:val="center"/>
        <w:rPr>
          <w:rFonts w:ascii="Arial" w:hAnsi="Arial" w:cs="Arial"/>
          <w:b/>
        </w:rPr>
      </w:pPr>
      <w:smartTag w:uri="urn:schemas-microsoft-com:office:smarttags" w:element="place">
        <w:smartTag w:uri="urn:schemas-microsoft-com:office:smarttags" w:element="PlaceName">
          <w:r>
            <w:rPr>
              <w:rFonts w:ascii="Arial" w:hAnsi="Arial" w:cs="Arial"/>
              <w:b/>
            </w:rPr>
            <w:t>PENNSYLVANIA</w:t>
          </w:r>
        </w:smartTag>
        <w:r>
          <w:rPr>
            <w:rFonts w:ascii="Arial" w:hAnsi="Arial" w:cs="Arial"/>
            <w:b/>
          </w:rPr>
          <w:t xml:space="preserve"> </w:t>
        </w:r>
        <w:smartTag w:uri="urn:schemas-microsoft-com:office:smarttags" w:element="PlaceType">
          <w:r>
            <w:rPr>
              <w:rFonts w:ascii="Arial" w:hAnsi="Arial" w:cs="Arial"/>
              <w:b/>
            </w:rPr>
            <w:t>STATE</w:t>
          </w:r>
        </w:smartTag>
      </w:smartTag>
      <w:r>
        <w:rPr>
          <w:rFonts w:ascii="Arial" w:hAnsi="Arial" w:cs="Arial"/>
          <w:b/>
        </w:rPr>
        <w:t xml:space="preserve"> IMPLEMENTATION PLAN</w:t>
      </w:r>
    </w:p>
    <w:p w14:paraId="244F5076" w14:textId="77777777" w:rsidR="00043536" w:rsidRDefault="00043536" w:rsidP="00043536">
      <w:pPr>
        <w:jc w:val="center"/>
        <w:rPr>
          <w:rFonts w:ascii="Arial" w:hAnsi="Arial" w:cs="Arial"/>
          <w:b/>
        </w:rPr>
      </w:pPr>
    </w:p>
    <w:p w14:paraId="11CE9304" w14:textId="77777777" w:rsidR="00043536" w:rsidRDefault="00043536" w:rsidP="00043536">
      <w:pPr>
        <w:jc w:val="center"/>
        <w:rPr>
          <w:rFonts w:ascii="Arial" w:hAnsi="Arial" w:cs="Arial"/>
          <w:b/>
        </w:rPr>
      </w:pPr>
      <w:r>
        <w:rPr>
          <w:rFonts w:ascii="Arial" w:hAnsi="Arial" w:cs="Arial"/>
          <w:b/>
        </w:rPr>
        <w:t>For the</w:t>
      </w:r>
    </w:p>
    <w:p w14:paraId="3CEAB341" w14:textId="77777777" w:rsidR="00043536" w:rsidRDefault="00043536" w:rsidP="00043536">
      <w:pPr>
        <w:jc w:val="center"/>
        <w:rPr>
          <w:rFonts w:ascii="Arial" w:hAnsi="Arial" w:cs="Arial"/>
          <w:b/>
        </w:rPr>
      </w:pPr>
    </w:p>
    <w:p w14:paraId="12EBA44D" w14:textId="77777777" w:rsidR="00043536" w:rsidRDefault="00043536" w:rsidP="00043536">
      <w:pPr>
        <w:jc w:val="center"/>
        <w:rPr>
          <w:rFonts w:ascii="Arial" w:hAnsi="Arial" w:cs="Arial"/>
          <w:b/>
        </w:rPr>
      </w:pPr>
      <w:r>
        <w:rPr>
          <w:rFonts w:ascii="Arial" w:hAnsi="Arial" w:cs="Arial"/>
          <w:b/>
        </w:rPr>
        <w:t xml:space="preserve">Attainment and Maintenance of the National </w:t>
      </w:r>
    </w:p>
    <w:p w14:paraId="750ACFB9" w14:textId="77777777" w:rsidR="00043536" w:rsidRDefault="00043536" w:rsidP="00043536">
      <w:pPr>
        <w:jc w:val="center"/>
        <w:rPr>
          <w:rFonts w:ascii="Arial" w:hAnsi="Arial" w:cs="Arial"/>
          <w:b/>
        </w:rPr>
      </w:pPr>
      <w:r>
        <w:rPr>
          <w:rFonts w:ascii="Arial" w:hAnsi="Arial" w:cs="Arial"/>
          <w:b/>
        </w:rPr>
        <w:t>Ambient Air Quality Standards</w:t>
      </w:r>
    </w:p>
    <w:p w14:paraId="3ACFDD6D" w14:textId="77777777" w:rsidR="00043536" w:rsidRDefault="00043536" w:rsidP="00043536">
      <w:pPr>
        <w:jc w:val="center"/>
        <w:rPr>
          <w:rFonts w:ascii="Arial" w:hAnsi="Arial" w:cs="Arial"/>
          <w:b/>
        </w:rPr>
      </w:pPr>
    </w:p>
    <w:p w14:paraId="536E63C1" w14:textId="77777777" w:rsidR="00043536" w:rsidRDefault="00043536" w:rsidP="00043536">
      <w:pPr>
        <w:jc w:val="center"/>
        <w:rPr>
          <w:rFonts w:ascii="Arial" w:hAnsi="Arial" w:cs="Arial"/>
          <w:b/>
        </w:rPr>
      </w:pPr>
    </w:p>
    <w:p w14:paraId="4CF5D60E" w14:textId="77777777" w:rsidR="00043536" w:rsidRDefault="00043536" w:rsidP="00043536">
      <w:pPr>
        <w:jc w:val="center"/>
        <w:rPr>
          <w:rFonts w:ascii="Arial" w:hAnsi="Arial" w:cs="Arial"/>
          <w:b/>
        </w:rPr>
      </w:pPr>
    </w:p>
    <w:p w14:paraId="0E21A2FE" w14:textId="77777777" w:rsidR="00043536" w:rsidRDefault="00043536" w:rsidP="00043536">
      <w:pPr>
        <w:jc w:val="center"/>
        <w:rPr>
          <w:rFonts w:ascii="Arial" w:hAnsi="Arial" w:cs="Arial"/>
          <w:b/>
        </w:rPr>
      </w:pPr>
    </w:p>
    <w:p w14:paraId="3B769DD3" w14:textId="77777777" w:rsidR="00043536" w:rsidRDefault="00043536" w:rsidP="00043536">
      <w:pPr>
        <w:jc w:val="center"/>
        <w:rPr>
          <w:rFonts w:ascii="Arial" w:hAnsi="Arial" w:cs="Arial"/>
          <w:b/>
        </w:rPr>
      </w:pPr>
    </w:p>
    <w:p w14:paraId="5091804B" w14:textId="77777777" w:rsidR="00043536" w:rsidRDefault="00043536" w:rsidP="00043536">
      <w:pPr>
        <w:jc w:val="center"/>
        <w:rPr>
          <w:rFonts w:ascii="Arial" w:hAnsi="Arial" w:cs="Arial"/>
          <w:b/>
        </w:rPr>
      </w:pPr>
      <w:r>
        <w:rPr>
          <w:rFonts w:ascii="Arial" w:hAnsi="Arial" w:cs="Arial"/>
          <w:b/>
        </w:rPr>
        <w:t xml:space="preserve">Revision Tracking No. </w:t>
      </w:r>
      <w:r w:rsidR="00ED3DE2">
        <w:rPr>
          <w:rFonts w:ascii="Arial" w:hAnsi="Arial" w:cs="Arial"/>
          <w:b/>
        </w:rPr>
        <w:t>9</w:t>
      </w:r>
      <w:r>
        <w:rPr>
          <w:rFonts w:ascii="Arial" w:hAnsi="Arial" w:cs="Arial"/>
          <w:b/>
        </w:rPr>
        <w:t>4</w:t>
      </w:r>
    </w:p>
    <w:p w14:paraId="78F39283" w14:textId="77777777" w:rsidR="00043536" w:rsidRDefault="00043536" w:rsidP="00043536">
      <w:pPr>
        <w:jc w:val="center"/>
        <w:rPr>
          <w:rFonts w:ascii="Arial" w:hAnsi="Arial" w:cs="Arial"/>
          <w:b/>
        </w:rPr>
      </w:pPr>
    </w:p>
    <w:p w14:paraId="3348A08E" w14:textId="77777777" w:rsidR="00043536" w:rsidRDefault="00043536" w:rsidP="00043536">
      <w:pPr>
        <w:jc w:val="center"/>
        <w:rPr>
          <w:rFonts w:ascii="Arial" w:hAnsi="Arial" w:cs="Arial"/>
          <w:b/>
        </w:rPr>
      </w:pPr>
    </w:p>
    <w:p w14:paraId="04442FE5" w14:textId="77777777" w:rsidR="00043536" w:rsidRDefault="00043536" w:rsidP="00043536">
      <w:pPr>
        <w:jc w:val="center"/>
        <w:rPr>
          <w:rFonts w:ascii="Arial" w:hAnsi="Arial" w:cs="Arial"/>
          <w:b/>
        </w:rPr>
      </w:pPr>
    </w:p>
    <w:p w14:paraId="46EE2288" w14:textId="77777777" w:rsidR="00043536" w:rsidRDefault="00043536" w:rsidP="00043536">
      <w:pPr>
        <w:jc w:val="center"/>
        <w:rPr>
          <w:rFonts w:ascii="Arial" w:hAnsi="Arial" w:cs="Arial"/>
          <w:b/>
        </w:rPr>
      </w:pPr>
    </w:p>
    <w:p w14:paraId="38AF9A0B" w14:textId="77777777" w:rsidR="00043536" w:rsidRPr="00BD387F" w:rsidRDefault="00043536" w:rsidP="00043536">
      <w:pPr>
        <w:jc w:val="center"/>
        <w:rPr>
          <w:rFonts w:ascii="Arial" w:hAnsi="Arial" w:cs="Arial"/>
        </w:rPr>
      </w:pPr>
      <w:r w:rsidRPr="00BD387F">
        <w:rPr>
          <w:rFonts w:ascii="Arial" w:hAnsi="Arial" w:cs="Arial"/>
        </w:rPr>
        <w:t>Allegheny County Health Department</w:t>
      </w:r>
    </w:p>
    <w:p w14:paraId="43B55B48" w14:textId="77777777" w:rsidR="00043536" w:rsidRPr="00BD387F" w:rsidRDefault="00043536" w:rsidP="00043536">
      <w:pPr>
        <w:jc w:val="center"/>
        <w:rPr>
          <w:rFonts w:ascii="Arial" w:hAnsi="Arial" w:cs="Arial"/>
        </w:rPr>
      </w:pPr>
      <w:r w:rsidRPr="00BD387F">
        <w:rPr>
          <w:rFonts w:ascii="Arial" w:hAnsi="Arial" w:cs="Arial"/>
        </w:rPr>
        <w:t>Rules and Regulations</w:t>
      </w:r>
    </w:p>
    <w:p w14:paraId="1F7BB758" w14:textId="77777777" w:rsidR="00043536" w:rsidRPr="00BD387F" w:rsidRDefault="00043536" w:rsidP="00043536">
      <w:pPr>
        <w:jc w:val="center"/>
        <w:rPr>
          <w:rFonts w:ascii="Arial" w:hAnsi="Arial" w:cs="Arial"/>
        </w:rPr>
      </w:pPr>
      <w:r w:rsidRPr="00BD387F">
        <w:rPr>
          <w:rFonts w:ascii="Arial" w:hAnsi="Arial" w:cs="Arial"/>
        </w:rPr>
        <w:t xml:space="preserve">Article XXI, Air Pollution Control </w:t>
      </w:r>
    </w:p>
    <w:p w14:paraId="68356ACE" w14:textId="77777777" w:rsidR="00043536" w:rsidRPr="00BD387F" w:rsidRDefault="00043536" w:rsidP="00043536">
      <w:pPr>
        <w:jc w:val="center"/>
        <w:rPr>
          <w:rFonts w:ascii="Arial" w:hAnsi="Arial" w:cs="Arial"/>
        </w:rPr>
      </w:pPr>
    </w:p>
    <w:p w14:paraId="644F57BF" w14:textId="3594C315" w:rsidR="00043536" w:rsidRPr="0038577F" w:rsidRDefault="00ED3DE2" w:rsidP="00043536">
      <w:pPr>
        <w:jc w:val="center"/>
        <w:rPr>
          <w:rFonts w:ascii="Arial" w:hAnsi="Arial" w:cs="Arial"/>
          <w:b/>
          <w:bCs/>
        </w:rPr>
      </w:pPr>
      <w:r w:rsidRPr="0038577F">
        <w:rPr>
          <w:rFonts w:ascii="Arial" w:hAnsi="Arial" w:cs="Arial"/>
          <w:b/>
          <w:bCs/>
        </w:rPr>
        <w:t>Addition</w:t>
      </w:r>
      <w:r w:rsidR="00043536" w:rsidRPr="0038577F">
        <w:rPr>
          <w:rFonts w:ascii="Arial" w:hAnsi="Arial" w:cs="Arial"/>
          <w:b/>
          <w:bCs/>
        </w:rPr>
        <w:t xml:space="preserve"> to Article XXI </w:t>
      </w:r>
      <w:r w:rsidR="002102C6" w:rsidRPr="0038577F">
        <w:rPr>
          <w:rFonts w:ascii="Arial" w:hAnsi="Arial" w:cs="Arial"/>
          <w:b/>
          <w:bCs/>
        </w:rPr>
        <w:t>of</w:t>
      </w:r>
      <w:r w:rsidR="00043536" w:rsidRPr="0038577F">
        <w:rPr>
          <w:rFonts w:ascii="Arial" w:hAnsi="Arial" w:cs="Arial"/>
          <w:b/>
          <w:bCs/>
        </w:rPr>
        <w:t>:</w:t>
      </w:r>
    </w:p>
    <w:p w14:paraId="52E61E57" w14:textId="77777777" w:rsidR="00043536" w:rsidRPr="0038577F" w:rsidRDefault="00043536" w:rsidP="00043536">
      <w:pPr>
        <w:jc w:val="center"/>
        <w:rPr>
          <w:rFonts w:ascii="Arial" w:hAnsi="Arial" w:cs="Arial"/>
          <w:b/>
          <w:bCs/>
        </w:rPr>
      </w:pPr>
    </w:p>
    <w:p w14:paraId="6126D548" w14:textId="77777777" w:rsidR="00043536" w:rsidRPr="0038577F" w:rsidRDefault="00043536" w:rsidP="00043536">
      <w:pPr>
        <w:jc w:val="center"/>
        <w:rPr>
          <w:rFonts w:ascii="Arial" w:hAnsi="Arial" w:cs="Arial"/>
          <w:b/>
          <w:bCs/>
        </w:rPr>
      </w:pPr>
      <w:r w:rsidRPr="0038577F">
        <w:rPr>
          <w:rFonts w:ascii="Arial" w:hAnsi="Arial" w:cs="Arial"/>
          <w:b/>
          <w:bCs/>
        </w:rPr>
        <w:t>§2105.8</w:t>
      </w:r>
      <w:r w:rsidR="00ED3DE2" w:rsidRPr="0038577F">
        <w:rPr>
          <w:rFonts w:ascii="Arial" w:hAnsi="Arial" w:cs="Arial"/>
          <w:b/>
          <w:bCs/>
        </w:rPr>
        <w:t>7</w:t>
      </w:r>
      <w:r w:rsidRPr="0038577F">
        <w:rPr>
          <w:rFonts w:ascii="Arial" w:hAnsi="Arial" w:cs="Arial"/>
          <w:b/>
          <w:bCs/>
        </w:rPr>
        <w:t xml:space="preserve"> Control of VOC Emissions from </w:t>
      </w:r>
      <w:r w:rsidR="00ED3DE2" w:rsidRPr="0038577F">
        <w:rPr>
          <w:rFonts w:ascii="Arial" w:hAnsi="Arial" w:cs="Arial"/>
          <w:b/>
          <w:bCs/>
        </w:rPr>
        <w:t>Oil and Natural Gas Sources</w:t>
      </w:r>
      <w:r w:rsidRPr="0038577F">
        <w:rPr>
          <w:rFonts w:ascii="Arial" w:hAnsi="Arial" w:cs="Arial"/>
          <w:b/>
          <w:bCs/>
        </w:rPr>
        <w:t xml:space="preserve">  </w:t>
      </w:r>
    </w:p>
    <w:p w14:paraId="29D117A7" w14:textId="77777777" w:rsidR="000541F2" w:rsidRDefault="00043536" w:rsidP="000F1CD8">
      <w:pPr>
        <w:jc w:val="center"/>
      </w:pPr>
      <w:r w:rsidRPr="00BD387F">
        <w:rPr>
          <w:rFonts w:ascii="Univers" w:hAnsi="Univers"/>
          <w:sz w:val="28"/>
        </w:rPr>
        <w:cr/>
      </w:r>
      <w:r>
        <w:br w:type="page"/>
      </w:r>
    </w:p>
    <w:p w14:paraId="55853C1B" w14:textId="77777777" w:rsidR="00043536" w:rsidRPr="000A27F7" w:rsidRDefault="00043536" w:rsidP="00043536">
      <w:pPr>
        <w:rPr>
          <w:rFonts w:ascii="Univers" w:hAnsi="Univers"/>
          <w:sz w:val="28"/>
        </w:rPr>
      </w:pPr>
    </w:p>
    <w:p w14:paraId="735FBADC" w14:textId="77777777" w:rsidR="00043536" w:rsidRPr="000A27F7" w:rsidRDefault="00043536" w:rsidP="00043536">
      <w:pPr>
        <w:jc w:val="center"/>
        <w:rPr>
          <w:rFonts w:ascii="Arial" w:hAnsi="Arial" w:cs="Arial"/>
          <w:i/>
        </w:rPr>
      </w:pPr>
    </w:p>
    <w:p w14:paraId="3A908F12" w14:textId="77777777" w:rsidR="00043536" w:rsidRPr="000A27F7" w:rsidRDefault="00043536" w:rsidP="00043536">
      <w:pPr>
        <w:jc w:val="center"/>
        <w:rPr>
          <w:rFonts w:ascii="Arial" w:hAnsi="Arial" w:cs="Arial"/>
        </w:rPr>
      </w:pPr>
      <w:r w:rsidRPr="000A27F7">
        <w:rPr>
          <w:rFonts w:ascii="Arial" w:hAnsi="Arial" w:cs="Arial"/>
          <w:i/>
        </w:rPr>
        <w:t>Table of Contents</w:t>
      </w:r>
    </w:p>
    <w:p w14:paraId="56CD76D6" w14:textId="77777777" w:rsidR="00043536" w:rsidRPr="000A27F7" w:rsidRDefault="00043536" w:rsidP="00043536">
      <w:pPr>
        <w:jc w:val="center"/>
        <w:rPr>
          <w:rFonts w:ascii="Arial" w:hAnsi="Arial" w:cs="Arial"/>
        </w:rPr>
      </w:pPr>
    </w:p>
    <w:p w14:paraId="2354CCA8" w14:textId="77777777" w:rsidR="00043536" w:rsidRPr="000A27F7" w:rsidRDefault="00043536" w:rsidP="00043536">
      <w:pPr>
        <w:rPr>
          <w:rFonts w:ascii="Arial" w:hAnsi="Arial" w:cs="Arial"/>
        </w:rPr>
      </w:pPr>
    </w:p>
    <w:p w14:paraId="073C0581" w14:textId="77777777" w:rsidR="00043536" w:rsidRPr="000A27F7" w:rsidRDefault="00043536" w:rsidP="00043536">
      <w:pPr>
        <w:rPr>
          <w:rFonts w:ascii="Arial" w:hAnsi="Arial" w:cs="Arial"/>
        </w:rPr>
      </w:pPr>
    </w:p>
    <w:p w14:paraId="24ABC962" w14:textId="2B7C9BE6" w:rsidR="00043536" w:rsidRPr="000A27F7" w:rsidRDefault="00043536" w:rsidP="00043536">
      <w:pPr>
        <w:rPr>
          <w:rFonts w:ascii="Arial" w:hAnsi="Arial" w:cs="Arial"/>
        </w:rPr>
      </w:pPr>
      <w:r w:rsidRPr="000A27F7">
        <w:rPr>
          <w:rFonts w:ascii="Arial" w:hAnsi="Arial" w:cs="Arial"/>
        </w:rPr>
        <w:t>1.</w:t>
      </w:r>
      <w:r w:rsidRPr="000A27F7">
        <w:rPr>
          <w:rFonts w:ascii="Arial" w:hAnsi="Arial" w:cs="Arial"/>
        </w:rPr>
        <w:tab/>
      </w:r>
      <w:r w:rsidR="002102C6">
        <w:rPr>
          <w:rFonts w:ascii="Arial" w:hAnsi="Arial" w:cs="Arial"/>
        </w:rPr>
        <w:t>Proposed c</w:t>
      </w:r>
      <w:r w:rsidRPr="000A27F7">
        <w:rPr>
          <w:rFonts w:ascii="Arial" w:hAnsi="Arial" w:cs="Arial"/>
        </w:rPr>
        <w:t xml:space="preserve">hanges to Article XXI Rules and Regulations: </w:t>
      </w:r>
    </w:p>
    <w:p w14:paraId="6D596BD2" w14:textId="77777777" w:rsidR="000A27F7" w:rsidRPr="000A27F7" w:rsidRDefault="000A27F7" w:rsidP="00043536">
      <w:pPr>
        <w:rPr>
          <w:rFonts w:ascii="Arial" w:hAnsi="Arial" w:cs="Arial"/>
        </w:rPr>
      </w:pPr>
    </w:p>
    <w:p w14:paraId="1A8A5279" w14:textId="7C54CD0F" w:rsidR="00ED3DE2" w:rsidRPr="000A27F7" w:rsidRDefault="002102C6" w:rsidP="000A27F7">
      <w:pPr>
        <w:ind w:firstLine="720"/>
        <w:jc w:val="center"/>
        <w:rPr>
          <w:rFonts w:ascii="Arial" w:hAnsi="Arial" w:cs="Arial"/>
        </w:rPr>
      </w:pPr>
      <w:r>
        <w:rPr>
          <w:rFonts w:ascii="Arial" w:hAnsi="Arial" w:cs="Arial"/>
        </w:rPr>
        <w:t xml:space="preserve">Addition of </w:t>
      </w:r>
      <w:r w:rsidR="00ED3DE2" w:rsidRPr="000A27F7">
        <w:rPr>
          <w:rFonts w:ascii="Arial" w:hAnsi="Arial" w:cs="Arial"/>
        </w:rPr>
        <w:t>§2105.87</w:t>
      </w:r>
      <w:r>
        <w:rPr>
          <w:rFonts w:ascii="Arial" w:hAnsi="Arial" w:cs="Arial"/>
        </w:rPr>
        <w:t>,</w:t>
      </w:r>
      <w:r w:rsidR="00ED3DE2" w:rsidRPr="000A27F7">
        <w:rPr>
          <w:rFonts w:ascii="Arial" w:hAnsi="Arial" w:cs="Arial"/>
        </w:rPr>
        <w:t xml:space="preserve"> </w:t>
      </w:r>
      <w:r>
        <w:rPr>
          <w:rFonts w:ascii="Arial" w:hAnsi="Arial" w:cs="Arial"/>
        </w:rPr>
        <w:t>“</w:t>
      </w:r>
      <w:r w:rsidR="00ED3DE2" w:rsidRPr="000A27F7">
        <w:rPr>
          <w:rFonts w:ascii="Arial" w:hAnsi="Arial" w:cs="Arial"/>
        </w:rPr>
        <w:t>Control of VOC Emissions from Oil and Natural Gas Sources</w:t>
      </w:r>
      <w:r>
        <w:rPr>
          <w:rFonts w:ascii="Arial" w:hAnsi="Arial" w:cs="Arial"/>
        </w:rPr>
        <w:t>”</w:t>
      </w:r>
    </w:p>
    <w:p w14:paraId="478AB71C" w14:textId="77777777" w:rsidR="00043536" w:rsidRPr="000A27F7" w:rsidRDefault="00043536" w:rsidP="00043536">
      <w:pPr>
        <w:rPr>
          <w:rFonts w:ascii="Arial" w:hAnsi="Arial" w:cs="Arial"/>
        </w:rPr>
      </w:pPr>
    </w:p>
    <w:p w14:paraId="2F9F8E21" w14:textId="77777777" w:rsidR="000A4BB6" w:rsidRPr="000A27F7" w:rsidRDefault="000A4BB6" w:rsidP="00043536">
      <w:pPr>
        <w:rPr>
          <w:rFonts w:ascii="Arial" w:hAnsi="Arial" w:cs="Arial"/>
        </w:rPr>
      </w:pPr>
    </w:p>
    <w:p w14:paraId="171C637B" w14:textId="66759BD2" w:rsidR="00043536" w:rsidRDefault="00043536" w:rsidP="00043536">
      <w:pPr>
        <w:rPr>
          <w:rFonts w:ascii="Arial" w:hAnsi="Arial" w:cs="Arial"/>
        </w:rPr>
      </w:pPr>
      <w:r w:rsidRPr="000A27F7">
        <w:rPr>
          <w:rFonts w:ascii="Arial" w:hAnsi="Arial" w:cs="Arial"/>
        </w:rPr>
        <w:t>2.</w:t>
      </w:r>
      <w:r w:rsidRPr="000A27F7">
        <w:rPr>
          <w:rFonts w:ascii="Arial" w:hAnsi="Arial" w:cs="Arial"/>
        </w:rPr>
        <w:tab/>
        <w:t>Technical Support Document</w:t>
      </w:r>
    </w:p>
    <w:p w14:paraId="48E7BC40" w14:textId="7D2DD1D7" w:rsidR="002102C6" w:rsidRDefault="002102C6" w:rsidP="00043536">
      <w:pPr>
        <w:rPr>
          <w:rFonts w:ascii="Arial" w:hAnsi="Arial" w:cs="Arial"/>
        </w:rPr>
      </w:pPr>
    </w:p>
    <w:p w14:paraId="61D82934" w14:textId="4EA0FE68" w:rsidR="002102C6" w:rsidRDefault="00AA45D3" w:rsidP="002102C6">
      <w:pPr>
        <w:pStyle w:val="ListParagraph"/>
        <w:numPr>
          <w:ilvl w:val="0"/>
          <w:numId w:val="8"/>
        </w:numPr>
        <w:rPr>
          <w:rFonts w:ascii="Arial" w:hAnsi="Arial" w:cs="Arial"/>
        </w:rPr>
      </w:pPr>
      <w:r>
        <w:rPr>
          <w:rFonts w:ascii="Arial" w:hAnsi="Arial" w:cs="Arial"/>
        </w:rPr>
        <w:t>General</w:t>
      </w:r>
    </w:p>
    <w:p w14:paraId="3E3964FD" w14:textId="15D6913B" w:rsidR="002102C6" w:rsidRPr="002102C6" w:rsidRDefault="00AA45D3" w:rsidP="002102C6">
      <w:pPr>
        <w:pStyle w:val="ListParagraph"/>
        <w:numPr>
          <w:ilvl w:val="0"/>
          <w:numId w:val="8"/>
        </w:numPr>
        <w:rPr>
          <w:rFonts w:ascii="Arial" w:hAnsi="Arial" w:cs="Arial"/>
        </w:rPr>
      </w:pPr>
      <w:r>
        <w:rPr>
          <w:rFonts w:ascii="Arial" w:hAnsi="Arial" w:cs="Arial"/>
        </w:rPr>
        <w:t>What is being incorporated by reference (the p</w:t>
      </w:r>
      <w:r w:rsidR="002102C6">
        <w:rPr>
          <w:rFonts w:ascii="Arial" w:hAnsi="Arial" w:cs="Arial"/>
        </w:rPr>
        <w:t xml:space="preserve">roposed 25 Pa. Code </w:t>
      </w:r>
      <w:r w:rsidR="002F4EDA">
        <w:rPr>
          <w:rFonts w:ascii="Arial" w:hAnsi="Arial" w:cs="Arial"/>
        </w:rPr>
        <w:t>Sections 129.121 to 129.130</w:t>
      </w:r>
      <w:r w:rsidR="002102C6">
        <w:rPr>
          <w:rFonts w:ascii="Arial" w:hAnsi="Arial" w:cs="Arial"/>
        </w:rPr>
        <w:t xml:space="preserve"> </w:t>
      </w:r>
      <w:r w:rsidR="002F4EDA">
        <w:rPr>
          <w:rFonts w:ascii="Arial" w:hAnsi="Arial" w:cs="Arial"/>
        </w:rPr>
        <w:t>as presented in PA DEP document, “O &amp; G FRN</w:t>
      </w:r>
      <w:r w:rsidR="002102C6">
        <w:rPr>
          <w:rFonts w:ascii="Arial" w:hAnsi="Arial" w:cs="Arial"/>
        </w:rPr>
        <w:t xml:space="preserve"> Annex </w:t>
      </w:r>
      <w:proofErr w:type="gramStart"/>
      <w:r w:rsidR="002F4EDA">
        <w:rPr>
          <w:rFonts w:ascii="Arial" w:hAnsi="Arial" w:cs="Arial"/>
        </w:rPr>
        <w:t>A</w:t>
      </w:r>
      <w:proofErr w:type="gramEnd"/>
      <w:r w:rsidR="002F4EDA">
        <w:rPr>
          <w:rFonts w:ascii="Arial" w:hAnsi="Arial" w:cs="Arial"/>
        </w:rPr>
        <w:t xml:space="preserve"> AQTAC 10-27-2021 Draft”</w:t>
      </w:r>
      <w:r>
        <w:rPr>
          <w:rFonts w:ascii="Arial" w:hAnsi="Arial" w:cs="Arial"/>
        </w:rPr>
        <w:t>)</w:t>
      </w:r>
    </w:p>
    <w:p w14:paraId="372110D8" w14:textId="77777777" w:rsidR="00043536" w:rsidRPr="000A27F7" w:rsidRDefault="00043536" w:rsidP="00043536">
      <w:pPr>
        <w:rPr>
          <w:rFonts w:ascii="Arial" w:hAnsi="Arial" w:cs="Arial"/>
        </w:rPr>
      </w:pPr>
    </w:p>
    <w:p w14:paraId="0A8FF9ED" w14:textId="77777777" w:rsidR="00043536" w:rsidRPr="000A27F7" w:rsidRDefault="00043536" w:rsidP="00043536">
      <w:pPr>
        <w:rPr>
          <w:rFonts w:ascii="Arial" w:hAnsi="Arial" w:cs="Arial"/>
        </w:rPr>
      </w:pPr>
    </w:p>
    <w:p w14:paraId="5073A933" w14:textId="77777777" w:rsidR="00043536" w:rsidRPr="000A27F7" w:rsidRDefault="00043536" w:rsidP="00043536">
      <w:pPr>
        <w:rPr>
          <w:rFonts w:ascii="Arial" w:hAnsi="Arial" w:cs="Arial"/>
        </w:rPr>
      </w:pPr>
      <w:r w:rsidRPr="000A27F7">
        <w:rPr>
          <w:rFonts w:ascii="Arial" w:hAnsi="Arial" w:cs="Arial"/>
        </w:rPr>
        <w:t>3.</w:t>
      </w:r>
      <w:r w:rsidRPr="000A27F7">
        <w:rPr>
          <w:rFonts w:ascii="Arial" w:hAnsi="Arial" w:cs="Arial"/>
        </w:rPr>
        <w:tab/>
        <w:t>Documentation of Public Hearing and Certifications</w:t>
      </w:r>
      <w:r w:rsidR="00ED3DE2" w:rsidRPr="000A27F7">
        <w:rPr>
          <w:rFonts w:ascii="Arial" w:hAnsi="Arial" w:cs="Arial"/>
        </w:rPr>
        <w:t xml:space="preserve"> (all later)</w:t>
      </w:r>
    </w:p>
    <w:p w14:paraId="002EFAE6" w14:textId="77777777" w:rsidR="00043536" w:rsidRPr="000A27F7" w:rsidRDefault="00043536" w:rsidP="00043536">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p>
    <w:p w14:paraId="255BF637" w14:textId="77777777" w:rsidR="00043536" w:rsidRPr="000A27F7" w:rsidRDefault="00043536" w:rsidP="00043536">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r w:rsidRPr="000A27F7">
        <w:rPr>
          <w:rFonts w:ascii="Arial" w:hAnsi="Arial" w:cs="Arial"/>
        </w:rPr>
        <w:t>Public hearing notice</w:t>
      </w:r>
    </w:p>
    <w:p w14:paraId="54015959" w14:textId="77777777" w:rsidR="00043536" w:rsidRPr="000A27F7" w:rsidRDefault="00043536" w:rsidP="00043536">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r w:rsidRPr="000A27F7">
        <w:rPr>
          <w:rFonts w:ascii="Arial" w:hAnsi="Arial" w:cs="Arial"/>
        </w:rPr>
        <w:t>Transmittals of hearing notice to EPA &amp; PA DEP</w:t>
      </w:r>
    </w:p>
    <w:p w14:paraId="52CD8A7D" w14:textId="77777777" w:rsidR="00043536" w:rsidRPr="000A27F7" w:rsidRDefault="00043536" w:rsidP="00043536">
      <w:pPr>
        <w:tabs>
          <w:tab w:val="left" w:pos="1440"/>
        </w:tabs>
        <w:ind w:left="1440"/>
        <w:rPr>
          <w:rFonts w:ascii="Arial" w:hAnsi="Arial" w:cs="Arial"/>
        </w:rPr>
      </w:pPr>
      <w:r w:rsidRPr="000A27F7">
        <w:rPr>
          <w:rFonts w:ascii="Arial" w:hAnsi="Arial" w:cs="Arial"/>
        </w:rPr>
        <w:t>Proof of publication of notice of hearing</w:t>
      </w:r>
    </w:p>
    <w:p w14:paraId="3246D17A" w14:textId="77777777" w:rsidR="00043536" w:rsidRPr="000A27F7" w:rsidRDefault="00043536" w:rsidP="00043536">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r w:rsidRPr="000A27F7">
        <w:rPr>
          <w:rFonts w:ascii="Arial" w:hAnsi="Arial" w:cs="Arial"/>
        </w:rPr>
        <w:t>Certification of hearing</w:t>
      </w:r>
    </w:p>
    <w:p w14:paraId="61DEF6A8" w14:textId="77777777" w:rsidR="00043536" w:rsidRPr="000A27F7" w:rsidRDefault="00043536" w:rsidP="00043536">
      <w:pPr>
        <w:tabs>
          <w:tab w:val="left" w:pos="-1080"/>
          <w:tab w:val="left" w:pos="-720"/>
          <w:tab w:val="left" w:pos="720"/>
          <w:tab w:val="left" w:pos="126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r w:rsidRPr="000A27F7">
        <w:rPr>
          <w:rFonts w:ascii="Arial" w:hAnsi="Arial" w:cs="Arial"/>
        </w:rPr>
        <w:t>Summary of Comments and responses</w:t>
      </w:r>
    </w:p>
    <w:p w14:paraId="41A973DB" w14:textId="77777777" w:rsidR="00043536" w:rsidRPr="000A27F7" w:rsidRDefault="00043536" w:rsidP="00043536">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r w:rsidRPr="000A27F7">
        <w:rPr>
          <w:rFonts w:ascii="Arial" w:hAnsi="Arial" w:cs="Arial"/>
        </w:rPr>
        <w:t>Certifications of approval and adoption</w:t>
      </w:r>
    </w:p>
    <w:p w14:paraId="1CCE76D2" w14:textId="77777777" w:rsidR="00043536" w:rsidRPr="000A27F7" w:rsidRDefault="00043536" w:rsidP="00043536">
      <w:pPr>
        <w:jc w:val="center"/>
        <w:rPr>
          <w:sz w:val="28"/>
          <w:szCs w:val="28"/>
        </w:rPr>
      </w:pPr>
    </w:p>
    <w:p w14:paraId="37B11D19" w14:textId="77777777" w:rsidR="00043536" w:rsidRPr="000A27F7" w:rsidRDefault="00043536" w:rsidP="00043536">
      <w:pPr>
        <w:jc w:val="center"/>
        <w:rPr>
          <w:sz w:val="28"/>
          <w:szCs w:val="28"/>
        </w:rPr>
      </w:pPr>
    </w:p>
    <w:p w14:paraId="20B61483" w14:textId="77777777" w:rsidR="00043536" w:rsidRDefault="00043536" w:rsidP="00043536">
      <w:r>
        <w:br w:type="page"/>
      </w:r>
    </w:p>
    <w:p w14:paraId="043DA38F" w14:textId="77777777" w:rsidR="002738DE" w:rsidRPr="00C44778" w:rsidRDefault="00043536" w:rsidP="00C44778">
      <w:pPr>
        <w:jc w:val="center"/>
        <w:rPr>
          <w:rFonts w:ascii="Arial" w:hAnsi="Arial" w:cs="Arial"/>
          <w:b/>
        </w:rPr>
      </w:pPr>
      <w:r w:rsidRPr="00C44778">
        <w:rPr>
          <w:rFonts w:ascii="Arial" w:hAnsi="Arial" w:cs="Arial"/>
          <w:b/>
        </w:rPr>
        <w:lastRenderedPageBreak/>
        <w:t>1.</w:t>
      </w:r>
      <w:r w:rsidRPr="00C44778">
        <w:rPr>
          <w:rFonts w:ascii="Arial" w:hAnsi="Arial" w:cs="Arial"/>
          <w:b/>
        </w:rPr>
        <w:tab/>
        <w:t>Article XXI Changes</w:t>
      </w:r>
    </w:p>
    <w:p w14:paraId="4BB860BE" w14:textId="77777777" w:rsidR="00C44778" w:rsidRDefault="00C44778" w:rsidP="00043536"/>
    <w:p w14:paraId="7B6430E9" w14:textId="77777777" w:rsidR="004E10E0" w:rsidRPr="00F4727A"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B55D52" w14:textId="77777777"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sz w:val="30"/>
        </w:rPr>
        <w:t>PART E - SOURCE EMISSION AND OPERATING STANDARDS</w:t>
      </w:r>
    </w:p>
    <w:p w14:paraId="41C9E43D" w14:textId="77777777"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945BCA4" w14:textId="77777777" w:rsidR="004E10E0" w:rsidRPr="00FC5DC5"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FC5DC5">
        <w:rPr>
          <w:b/>
          <w:i/>
        </w:rPr>
        <w:t xml:space="preserve">Subpart </w:t>
      </w:r>
      <w:r w:rsidR="00EB1AA8">
        <w:rPr>
          <w:b/>
          <w:i/>
        </w:rPr>
        <w:t>7</w:t>
      </w:r>
      <w:r w:rsidRPr="00FC5DC5">
        <w:rPr>
          <w:b/>
          <w:i/>
        </w:rPr>
        <w:t xml:space="preserve"> –Miscellaneous VOC Sources</w:t>
      </w:r>
    </w:p>
    <w:p w14:paraId="0362E089" w14:textId="77777777"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34C8C1D" w14:textId="77777777" w:rsidR="004E10E0" w:rsidRDefault="00BD4082"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w:t>
      </w:r>
    </w:p>
    <w:p w14:paraId="2AA7EBAF" w14:textId="77777777"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The following section is </w:t>
      </w:r>
      <w:r w:rsidRPr="000437C9">
        <w:rPr>
          <w:b/>
          <w:i/>
          <w:u w:val="single"/>
        </w:rPr>
        <w:t>proposed</w:t>
      </w:r>
      <w:r>
        <w:rPr>
          <w:b/>
        </w:rPr>
        <w:t xml:space="preserve"> to be added to Article XXI:</w:t>
      </w:r>
    </w:p>
    <w:p w14:paraId="0709666E" w14:textId="77777777" w:rsidR="00BD4082" w:rsidRDefault="00BD4082"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EAB49E1" w14:textId="771C138B" w:rsidR="004E10E0" w:rsidRDefault="007048C6"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659264" behindDoc="0" locked="0" layoutInCell="1" allowOverlap="1" wp14:anchorId="5461A0A6" wp14:editId="46EC6CF0">
                <wp:simplePos x="0" y="0"/>
                <wp:positionH relativeFrom="column">
                  <wp:posOffset>809625</wp:posOffset>
                </wp:positionH>
                <wp:positionV relativeFrom="paragraph">
                  <wp:posOffset>27940</wp:posOffset>
                </wp:positionV>
                <wp:extent cx="3886200" cy="457200"/>
                <wp:effectExtent l="9525" t="5080" r="9525"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14:paraId="405CE3BC" w14:textId="77777777" w:rsidR="00BD4082" w:rsidRPr="00F72B46" w:rsidRDefault="00BD4082" w:rsidP="00BD4082">
                            <w:pPr>
                              <w:jc w:val="center"/>
                              <w:rPr>
                                <w:b/>
                                <w:sz w:val="28"/>
                                <w:szCs w:val="28"/>
                                <w:u w:val="single"/>
                              </w:rPr>
                            </w:pPr>
                            <w:r w:rsidRPr="00F72B46">
                              <w:rPr>
                                <w:b/>
                                <w:sz w:val="28"/>
                                <w:szCs w:val="28"/>
                                <w:u w:val="single"/>
                              </w:rPr>
                              <w:t>ALL NEW TEXT</w:t>
                            </w:r>
                          </w:p>
                          <w:p w14:paraId="46997E8F" w14:textId="77777777" w:rsidR="00BD4082" w:rsidRDefault="00BD4082" w:rsidP="00BD4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A0A6" id="Text Box 9" o:spid="_x0000_s1027" type="#_x0000_t202" style="position:absolute;margin-left:63.75pt;margin-top:2.2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">
                <v:textbox>
                  <w:txbxContent>
                    <w:p w14:paraId="405CE3BC" w14:textId="77777777" w:rsidR="00BD4082" w:rsidRPr="00F72B46" w:rsidRDefault="00BD4082" w:rsidP="00BD4082">
                      <w:pPr>
                        <w:jc w:val="center"/>
                        <w:rPr>
                          <w:b/>
                          <w:sz w:val="28"/>
                          <w:szCs w:val="28"/>
                          <w:u w:val="single"/>
                        </w:rPr>
                      </w:pPr>
                      <w:r w:rsidRPr="00F72B46">
                        <w:rPr>
                          <w:b/>
                          <w:sz w:val="28"/>
                          <w:szCs w:val="28"/>
                          <w:u w:val="single"/>
                        </w:rPr>
                        <w:t>ALL NEW TEXT</w:t>
                      </w:r>
                    </w:p>
                    <w:p w14:paraId="46997E8F" w14:textId="77777777" w:rsidR="00BD4082" w:rsidRDefault="00BD4082" w:rsidP="00BD4082"/>
                  </w:txbxContent>
                </v:textbox>
              </v:shape>
            </w:pict>
          </mc:Fallback>
        </mc:AlternateContent>
      </w:r>
    </w:p>
    <w:p w14:paraId="5C3DEDE4" w14:textId="77777777" w:rsidR="00BD4082" w:rsidRDefault="00BD4082"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EDC23A9" w14:textId="77777777" w:rsidR="00BD4082" w:rsidRDefault="00BD4082"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E50F072" w14:textId="77777777" w:rsidR="00F52B04" w:rsidRDefault="00F52B04"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2252E64" w14:textId="77777777" w:rsidR="004E10E0" w:rsidRDefault="004E10E0" w:rsidP="00182FB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b/>
        </w:rPr>
        <w:t>§2105.8</w:t>
      </w:r>
      <w:r w:rsidR="00182FB9">
        <w:rPr>
          <w:b/>
        </w:rPr>
        <w:t>7</w:t>
      </w:r>
      <w:r>
        <w:rPr>
          <w:b/>
        </w:rPr>
        <w:t xml:space="preserve"> </w:t>
      </w:r>
      <w:r w:rsidR="00182FB9">
        <w:rPr>
          <w:b/>
        </w:rPr>
        <w:t xml:space="preserve"> </w:t>
      </w:r>
      <w:r w:rsidR="00182FB9" w:rsidRPr="00182FB9">
        <w:rPr>
          <w:b/>
        </w:rPr>
        <w:t>CONTROL OF VOC EMISSIONS FROM OIL AND NATURAL GAS SOURCES</w:t>
      </w:r>
      <w:r w:rsidR="00182FB9">
        <w:rPr>
          <w:rFonts w:ascii="Arial" w:hAnsi="Arial" w:cs="Arial"/>
          <w:b/>
        </w:rPr>
        <w:t xml:space="preserve">  </w:t>
      </w:r>
      <w:r>
        <w:rPr>
          <w:i/>
          <w:sz w:val="18"/>
        </w:rPr>
        <w:t>{Section added Month, Day, 20</w:t>
      </w:r>
      <w:r w:rsidR="00182FB9">
        <w:rPr>
          <w:i/>
          <w:sz w:val="18"/>
        </w:rPr>
        <w:t>nn</w:t>
      </w:r>
      <w:r>
        <w:rPr>
          <w:i/>
          <w:sz w:val="18"/>
        </w:rPr>
        <w:t>, effective Month, Day, 20</w:t>
      </w:r>
      <w:r w:rsidR="00182FB9">
        <w:rPr>
          <w:i/>
          <w:sz w:val="18"/>
        </w:rPr>
        <w:t>nn</w:t>
      </w:r>
      <w:r>
        <w:rPr>
          <w:i/>
          <w:sz w:val="18"/>
        </w:rPr>
        <w:t>}</w:t>
      </w:r>
    </w:p>
    <w:p w14:paraId="5771783C" w14:textId="77777777" w:rsidR="004E10E0" w:rsidRPr="008E69E5" w:rsidRDefault="004E10E0" w:rsidP="004E10E0"/>
    <w:p w14:paraId="371E81B2" w14:textId="77777777" w:rsidR="004E10E0" w:rsidRDefault="004E10E0" w:rsidP="00BD4082">
      <w:pPr>
        <w:pStyle w:val="ListParagraph"/>
        <w:numPr>
          <w:ilvl w:val="0"/>
          <w:numId w:val="6"/>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97B23">
        <w:rPr>
          <w:b/>
        </w:rPr>
        <w:t>Incorporation by Reference.</w:t>
      </w:r>
      <w:r>
        <w:t xml:space="preserve">  </w:t>
      </w:r>
      <w:r w:rsidRPr="008E69E5">
        <w:t xml:space="preserve">Except as otherwise specifically provided under this Section, this Section shall be applied consistent with the provisions of the state regulation for </w:t>
      </w:r>
      <w:r w:rsidR="00182FB9">
        <w:t>‘</w:t>
      </w:r>
      <w:r w:rsidR="00182FB9" w:rsidRPr="00182FB9">
        <w:t xml:space="preserve">Control </w:t>
      </w:r>
      <w:r w:rsidR="00182FB9">
        <w:t>o</w:t>
      </w:r>
      <w:r w:rsidR="00182FB9" w:rsidRPr="00182FB9">
        <w:t>f V</w:t>
      </w:r>
      <w:r w:rsidR="00182FB9">
        <w:t>OC</w:t>
      </w:r>
      <w:r w:rsidR="00182FB9" w:rsidRPr="00182FB9">
        <w:t xml:space="preserve"> Emissions </w:t>
      </w:r>
      <w:r w:rsidR="00182FB9">
        <w:t>f</w:t>
      </w:r>
      <w:r w:rsidR="00182FB9" w:rsidRPr="00182FB9">
        <w:t xml:space="preserve">rom Oil </w:t>
      </w:r>
      <w:r w:rsidR="00182FB9">
        <w:t>a</w:t>
      </w:r>
      <w:r w:rsidR="00182FB9" w:rsidRPr="00182FB9">
        <w:t>nd Natural Gas Sources</w:t>
      </w:r>
      <w:r w:rsidR="00182FB9">
        <w:t>’</w:t>
      </w:r>
      <w:r w:rsidR="00182FB9" w:rsidRPr="008E69E5">
        <w:t xml:space="preserve"> </w:t>
      </w:r>
      <w:r w:rsidRPr="008E69E5">
        <w:t xml:space="preserve">promulgated under the Air Pollution Control Act at 25 Pa. Code </w:t>
      </w:r>
      <w:r>
        <w:t>§§</w:t>
      </w:r>
      <w:r w:rsidRPr="00CE24D9">
        <w:t>1</w:t>
      </w:r>
      <w:r w:rsidR="00182FB9">
        <w:t>29</w:t>
      </w:r>
      <w:r w:rsidRPr="00CE24D9">
        <w:t>.</w:t>
      </w:r>
      <w:r w:rsidR="00182FB9">
        <w:t>1</w:t>
      </w:r>
      <w:r w:rsidRPr="00CE24D9">
        <w:t>21- 1</w:t>
      </w:r>
      <w:r w:rsidR="00182FB9">
        <w:t>29</w:t>
      </w:r>
      <w:r w:rsidRPr="00CE24D9">
        <w:t>.</w:t>
      </w:r>
      <w:r w:rsidR="00182FB9">
        <w:t>130</w:t>
      </w:r>
      <w:r>
        <w:t xml:space="preserve"> </w:t>
      </w:r>
      <w:r w:rsidRPr="008E69E5">
        <w:t xml:space="preserve">which are hereby incorporated by reference into this Article. </w:t>
      </w:r>
      <w:r w:rsidR="00D35B4C">
        <w:t>All terms used in 25 Pa. Code §§</w:t>
      </w:r>
      <w:r w:rsidR="00D35B4C" w:rsidRPr="00CE24D9">
        <w:t>1</w:t>
      </w:r>
      <w:r w:rsidR="00D35B4C">
        <w:t>29</w:t>
      </w:r>
      <w:r w:rsidR="00D35B4C" w:rsidRPr="00CE24D9">
        <w:t>.</w:t>
      </w:r>
      <w:r w:rsidR="00D35B4C">
        <w:t>1</w:t>
      </w:r>
      <w:r w:rsidR="00D35B4C" w:rsidRPr="00CE24D9">
        <w:t>21- 1</w:t>
      </w:r>
      <w:r w:rsidR="00D35B4C">
        <w:t>29</w:t>
      </w:r>
      <w:r w:rsidR="00D35B4C" w:rsidRPr="00CE24D9">
        <w:t>.</w:t>
      </w:r>
      <w:r w:rsidR="00D35B4C">
        <w:t xml:space="preserve">130 and defined in 25 Pa. Code §121.1 are hereby incorporated by reference, except as explicitly set forth herein.  </w:t>
      </w:r>
      <w:r w:rsidRPr="008E69E5">
        <w:t xml:space="preserve">Additions, revisions, or deletions to such regulation by the Commonwealth are incorporated into this Article and are effective on the date established by the state regulations, unless otherwise established by regulation under this Article.  </w:t>
      </w:r>
    </w:p>
    <w:p w14:paraId="286252B9" w14:textId="77777777" w:rsidR="00B041A2" w:rsidRDefault="00B041A2" w:rsidP="00BD4082">
      <w:pPr>
        <w:pStyle w:val="ListParagraph"/>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0C3A81" w14:textId="77777777" w:rsidR="00B041A2" w:rsidRDefault="00674473" w:rsidP="00BD4082">
      <w:pPr>
        <w:pStyle w:val="ListParagraph"/>
        <w:numPr>
          <w:ilvl w:val="0"/>
          <w:numId w:val="6"/>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For purposes of this Section:</w:t>
      </w:r>
    </w:p>
    <w:p w14:paraId="732D42A6" w14:textId="77777777" w:rsidR="00BD4082" w:rsidRDefault="00BD4082" w:rsidP="00BD4082">
      <w:pPr>
        <w:pStyle w:val="ListParagraph"/>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62C7B4" w14:textId="77777777" w:rsidR="004E10E0" w:rsidRDefault="00B4651E" w:rsidP="00BD4082">
      <w:pPr>
        <w:pStyle w:val="ListParagraph"/>
        <w:numPr>
          <w:ilvl w:val="1"/>
          <w:numId w:val="7"/>
        </w:numPr>
        <w:tabs>
          <w:tab w:val="left" w:pos="-1080"/>
          <w:tab w:val="left" w:pos="-720"/>
          <w:tab w:val="left" w:pos="1"/>
          <w:tab w:val="left" w:pos="1080"/>
          <w:tab w:val="left" w:pos="126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“Department” shall mean Department as defined under this Article;</w:t>
      </w:r>
    </w:p>
    <w:p w14:paraId="2A93FF5C" w14:textId="77777777" w:rsidR="00BD4082" w:rsidRDefault="00BD4082" w:rsidP="00BD4082">
      <w:pPr>
        <w:pStyle w:val="ListParagraph"/>
        <w:tabs>
          <w:tab w:val="left" w:pos="-1080"/>
          <w:tab w:val="left" w:pos="-720"/>
          <w:tab w:val="left" w:pos="1"/>
          <w:tab w:val="left" w:pos="1080"/>
          <w:tab w:val="left" w:pos="126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0AB84464" w14:textId="77777777" w:rsidR="00B4651E" w:rsidRDefault="00B4651E" w:rsidP="00BD4082">
      <w:pPr>
        <w:pStyle w:val="ListParagraph"/>
        <w:numPr>
          <w:ilvl w:val="1"/>
          <w:numId w:val="7"/>
        </w:num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BD4082">
        <w:rPr>
          <w:rFonts w:eastAsia="Calibri"/>
          <w:bCs/>
        </w:rPr>
        <w:t xml:space="preserve">References in 25 Pa. Code </w:t>
      </w:r>
      <w:r>
        <w:t>§</w:t>
      </w:r>
      <w:r w:rsidRPr="00BD4082">
        <w:rPr>
          <w:rFonts w:eastAsia="Calibri"/>
          <w:bCs/>
        </w:rPr>
        <w:t>129.127, and §129.130, to “</w:t>
      </w:r>
      <w:r w:rsidRPr="00BD4082">
        <w:rPr>
          <w:sz w:val="23"/>
          <w:szCs w:val="23"/>
        </w:rPr>
        <w:t>the Air Program Manager of the appropriate Department Regional Office</w:t>
      </w:r>
      <w:r>
        <w:t>”</w:t>
      </w:r>
      <w:r w:rsidRPr="00097B23">
        <w:t xml:space="preserve"> shall mean </w:t>
      </w:r>
      <w:r>
        <w:t xml:space="preserve">the Air Program Manager of the Allegheny County Health </w:t>
      </w:r>
      <w:r w:rsidRPr="00097B23">
        <w:t>Department</w:t>
      </w:r>
      <w:r w:rsidR="00515F05">
        <w:t>;</w:t>
      </w:r>
    </w:p>
    <w:p w14:paraId="5A246D3E" w14:textId="77777777" w:rsidR="00BD4082" w:rsidRDefault="00BD4082" w:rsidP="00BD4082">
      <w:p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427FD737" w14:textId="77777777" w:rsidR="00B4651E" w:rsidRDefault="00B4651E" w:rsidP="00BD4082">
      <w:pPr>
        <w:pStyle w:val="ListParagraph"/>
        <w:numPr>
          <w:ilvl w:val="1"/>
          <w:numId w:val="7"/>
        </w:num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BD4082">
        <w:rPr>
          <w:rFonts w:eastAsia="Calibri"/>
          <w:bCs/>
        </w:rPr>
        <w:t xml:space="preserve">References in 25 Pa. Code </w:t>
      </w:r>
      <w:r>
        <w:t>§</w:t>
      </w:r>
      <w:r w:rsidRPr="00BD4082">
        <w:rPr>
          <w:rFonts w:eastAsia="Calibri"/>
          <w:bCs/>
        </w:rPr>
        <w:t>129.129, to “</w:t>
      </w:r>
      <w:r w:rsidRPr="00BD4082">
        <w:rPr>
          <w:sz w:val="23"/>
          <w:szCs w:val="23"/>
        </w:rPr>
        <w:t>the Department’s Bureau of Waste Management</w:t>
      </w:r>
      <w:r>
        <w:t>”</w:t>
      </w:r>
      <w:r w:rsidRPr="00097B23">
        <w:t xml:space="preserve"> shall mean </w:t>
      </w:r>
      <w:r>
        <w:t xml:space="preserve">the Allegheny County Health </w:t>
      </w:r>
      <w:r w:rsidRPr="00097B23">
        <w:t>Department</w:t>
      </w:r>
      <w:r>
        <w:t>’s Waste Management Program;</w:t>
      </w:r>
    </w:p>
    <w:p w14:paraId="3D701DD7" w14:textId="77777777" w:rsidR="00BD4082" w:rsidRDefault="00BD4082" w:rsidP="00BD4082">
      <w:p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1135982D" w14:textId="77777777" w:rsidR="004E10E0" w:rsidRDefault="00B4651E" w:rsidP="00BD4082">
      <w:pPr>
        <w:pStyle w:val="ListParagraph"/>
        <w:numPr>
          <w:ilvl w:val="1"/>
          <w:numId w:val="7"/>
        </w:num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“Plan approval” shall mean Installation Permit</w:t>
      </w:r>
      <w:r w:rsidR="00515F05">
        <w:t>;</w:t>
      </w:r>
    </w:p>
    <w:p w14:paraId="501BAC5F" w14:textId="77777777" w:rsidR="00BD4082" w:rsidRDefault="00BD4082" w:rsidP="00BD4082">
      <w:p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50B090ED" w14:textId="77777777" w:rsidR="00364E9C" w:rsidRPr="00515F05" w:rsidRDefault="00515F05" w:rsidP="00BD4082">
      <w:pPr>
        <w:pStyle w:val="ListParagraph"/>
        <w:numPr>
          <w:ilvl w:val="1"/>
          <w:numId w:val="7"/>
        </w:num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 xml:space="preserve">References in </w:t>
      </w:r>
      <w:r w:rsidRPr="00BD4082">
        <w:rPr>
          <w:rFonts w:eastAsia="Calibri"/>
          <w:bCs/>
        </w:rPr>
        <w:t xml:space="preserve">25 Pa. Code </w:t>
      </w:r>
      <w:r>
        <w:t>§</w:t>
      </w:r>
      <w:r w:rsidRPr="00BD4082">
        <w:rPr>
          <w:rFonts w:eastAsia="Calibri"/>
          <w:bCs/>
        </w:rPr>
        <w:t>121.1, in the definition of “Responsible Official,” to</w:t>
      </w:r>
      <w:r w:rsidR="00364E9C" w:rsidRPr="00BD4082">
        <w:rPr>
          <w:b/>
          <w:bCs/>
          <w:sz w:val="23"/>
          <w:szCs w:val="23"/>
        </w:rPr>
        <w:t xml:space="preserve"> </w:t>
      </w:r>
      <w:r w:rsidR="00364E9C" w:rsidRPr="00BD4082">
        <w:rPr>
          <w:sz w:val="23"/>
          <w:szCs w:val="23"/>
        </w:rPr>
        <w:t>Chapter 127 (relating to construction, modification, reactivation and operation of sources</w:t>
      </w:r>
      <w:r w:rsidRPr="00BD4082">
        <w:rPr>
          <w:bCs/>
          <w:sz w:val="23"/>
          <w:szCs w:val="23"/>
        </w:rPr>
        <w:t>),</w:t>
      </w:r>
      <w:r w:rsidR="00364E9C" w:rsidRPr="00BD4082">
        <w:rPr>
          <w:bCs/>
          <w:sz w:val="23"/>
          <w:szCs w:val="23"/>
        </w:rPr>
        <w:t xml:space="preserve"> </w:t>
      </w:r>
      <w:r w:rsidRPr="00BD4082">
        <w:rPr>
          <w:bCs/>
          <w:sz w:val="23"/>
          <w:szCs w:val="23"/>
        </w:rPr>
        <w:t xml:space="preserve">or Chapter 129 (relating to </w:t>
      </w:r>
      <w:r w:rsidR="00364E9C" w:rsidRPr="00BD4082">
        <w:rPr>
          <w:bCs/>
          <w:sz w:val="23"/>
          <w:szCs w:val="23"/>
        </w:rPr>
        <w:t>standards for sources</w:t>
      </w:r>
      <w:r w:rsidR="00364E9C" w:rsidRPr="00BD4082">
        <w:rPr>
          <w:sz w:val="23"/>
          <w:szCs w:val="23"/>
        </w:rPr>
        <w:t>)</w:t>
      </w:r>
      <w:r w:rsidRPr="00BD4082">
        <w:rPr>
          <w:sz w:val="23"/>
          <w:szCs w:val="23"/>
        </w:rPr>
        <w:t xml:space="preserve">, shall </w:t>
      </w:r>
      <w:r w:rsidR="00BD4082" w:rsidRPr="00BD4082">
        <w:rPr>
          <w:sz w:val="23"/>
          <w:szCs w:val="23"/>
        </w:rPr>
        <w:t>mean Article XXI, Parts B and C, and Article XXI, Part E, respectively.</w:t>
      </w:r>
    </w:p>
    <w:p w14:paraId="20B4BAD4" w14:textId="77777777" w:rsidR="0015033D" w:rsidRDefault="0015033D">
      <w:pPr>
        <w:spacing w:after="200" w:line="276" w:lineRule="auto"/>
      </w:pPr>
      <w:r>
        <w:br w:type="page"/>
      </w:r>
    </w:p>
    <w:p w14:paraId="50700B9D" w14:textId="77777777" w:rsidR="0015033D" w:rsidRPr="00702463" w:rsidRDefault="0015033D" w:rsidP="0015033D">
      <w:pPr>
        <w:jc w:val="center"/>
      </w:pPr>
      <w:r w:rsidRPr="008C2DD2">
        <w:rPr>
          <w:rFonts w:ascii="Arial" w:hAnsi="Arial" w:cs="Arial"/>
          <w:b/>
        </w:rPr>
        <w:lastRenderedPageBreak/>
        <w:t>2.</w:t>
      </w:r>
      <w:r w:rsidRPr="008C2DD2">
        <w:rPr>
          <w:rFonts w:ascii="Arial" w:hAnsi="Arial" w:cs="Arial"/>
          <w:b/>
        </w:rPr>
        <w:tab/>
        <w:t>Technical Support Document</w:t>
      </w:r>
    </w:p>
    <w:p w14:paraId="0E3C6259" w14:textId="77777777" w:rsidR="008F02A4" w:rsidRDefault="008F02A4" w:rsidP="0015033D">
      <w:pPr>
        <w:rPr>
          <w:b/>
          <w:bCs/>
          <w:u w:val="single"/>
        </w:rPr>
      </w:pPr>
    </w:p>
    <w:p w14:paraId="75AE0429" w14:textId="03848704" w:rsidR="0015033D" w:rsidRDefault="001957B7" w:rsidP="0015033D">
      <w:pPr>
        <w:rPr>
          <w:b/>
          <w:bCs/>
          <w:u w:val="single"/>
        </w:rPr>
      </w:pPr>
      <w:r w:rsidRPr="001957B7">
        <w:rPr>
          <w:b/>
          <w:bCs/>
          <w:u w:val="single"/>
        </w:rPr>
        <w:t>A.  General</w:t>
      </w:r>
    </w:p>
    <w:p w14:paraId="7C47B0DE" w14:textId="77777777" w:rsidR="001957B7" w:rsidRPr="001957B7" w:rsidRDefault="001957B7" w:rsidP="0015033D">
      <w:pPr>
        <w:rPr>
          <w:b/>
          <w:bCs/>
          <w:u w:val="single"/>
        </w:rPr>
      </w:pPr>
    </w:p>
    <w:p w14:paraId="2FE2931B" w14:textId="664872D1" w:rsidR="005F40B1" w:rsidRDefault="005F40B1" w:rsidP="005F40B1">
      <w:r w:rsidRPr="008C2DD2">
        <w:t xml:space="preserve">The </w:t>
      </w:r>
      <w:r>
        <w:t xml:space="preserve">proposed change to </w:t>
      </w:r>
      <w:r w:rsidRPr="008C2DD2">
        <w:t xml:space="preserve">Article XXI </w:t>
      </w:r>
      <w:r>
        <w:t xml:space="preserve">adds regulations </w:t>
      </w:r>
      <w:r w:rsidR="001D2B33">
        <w:t>addressing</w:t>
      </w:r>
      <w:r>
        <w:t xml:space="preserve"> the Control Techniques Guidelines (CTG) for ‘Control of VOCs from Oil and Natural Gas Sources,’ as new Article XXI, §2105.87. </w:t>
      </w:r>
    </w:p>
    <w:p w14:paraId="2232302D" w14:textId="77777777" w:rsidR="005F40B1" w:rsidRDefault="005F40B1" w:rsidP="000F1CD8"/>
    <w:p w14:paraId="7A6EFF1E" w14:textId="5A6CE9ED" w:rsidR="00F05FAD" w:rsidRDefault="000F1CD8" w:rsidP="005F40B1">
      <w:pPr>
        <w:jc w:val="both"/>
      </w:pPr>
      <w:r>
        <w:t xml:space="preserve">The Clean Air Act requires that state implementation plans (SIPs) for ozone non-attainment areas </w:t>
      </w:r>
      <w:r w:rsidR="00D756A8">
        <w:t xml:space="preserve">and ozone transport regions </w:t>
      </w:r>
      <w:r>
        <w:t>include reasonably available control measures, including r</w:t>
      </w:r>
      <w:r w:rsidRPr="00665112">
        <w:t xml:space="preserve">easonably </w:t>
      </w:r>
      <w:r>
        <w:t>a</w:t>
      </w:r>
      <w:r w:rsidRPr="00665112">
        <w:t xml:space="preserve">vailable </w:t>
      </w:r>
      <w:r>
        <w:t>c</w:t>
      </w:r>
      <w:r w:rsidRPr="00665112">
        <w:t xml:space="preserve">ontrol </w:t>
      </w:r>
      <w:r>
        <w:t>t</w:t>
      </w:r>
      <w:r w:rsidRPr="00665112">
        <w:t>echn</w:t>
      </w:r>
      <w:r>
        <w:t>ologies</w:t>
      </w:r>
      <w:r w:rsidRPr="00665112">
        <w:t xml:space="preserve"> (RACT)</w:t>
      </w:r>
      <w:r>
        <w:t xml:space="preserve">, for sources of emissions.  Control Techniques Guidelines (CTGs) are promulgated by the EPA to provide state and local air pollution control authorities information that should assist them in determining RACT.  Air programs must revise their SIPs to include RACT for sources of </w:t>
      </w:r>
      <w:r w:rsidRPr="00665112">
        <w:t>Volatile Organic Compounds (VOC)</w:t>
      </w:r>
      <w:r>
        <w:t xml:space="preserve"> emissions covered by a CTG.  </w:t>
      </w:r>
      <w:r w:rsidR="005F40B1">
        <w:t xml:space="preserve">The EPA has mandated that CTGs become regulations, written by </w:t>
      </w:r>
      <w:r w:rsidR="001D2B33">
        <w:t xml:space="preserve">State or </w:t>
      </w:r>
      <w:r w:rsidR="005F40B1">
        <w:t>Local</w:t>
      </w:r>
      <w:r w:rsidR="001D2B33">
        <w:t xml:space="preserve"> </w:t>
      </w:r>
      <w:r w:rsidR="005F40B1">
        <w:t>Air Pollution Control Agencies.</w:t>
      </w:r>
      <w:r w:rsidR="00F05FAD">
        <w:t xml:space="preserve">  ACHD has adopted all applicable CTGs issued prior to 2016. </w:t>
      </w:r>
    </w:p>
    <w:p w14:paraId="0F3E1AC3" w14:textId="77777777" w:rsidR="00F05FAD" w:rsidRDefault="00F05FAD" w:rsidP="005F40B1">
      <w:pPr>
        <w:jc w:val="both"/>
      </w:pPr>
    </w:p>
    <w:p w14:paraId="39076912" w14:textId="7E3B9892" w:rsidR="00A47213" w:rsidRDefault="00F05FAD" w:rsidP="00A47213">
      <w:pPr>
        <w:jc w:val="both"/>
        <w:rPr>
          <w:rFonts w:eastAsiaTheme="minorHAnsi"/>
          <w:bCs/>
        </w:rPr>
      </w:pPr>
      <w:r>
        <w:t xml:space="preserve">On October 27, 2016, EPA issued the CTG for the Oil and Natural Gas Industry for emissions of VOC from existing sources.  </w:t>
      </w:r>
      <w:r w:rsidR="00A47213">
        <w:t>T</w:t>
      </w:r>
      <w:r w:rsidR="001620C0">
        <w:rPr>
          <w:rFonts w:eastAsiaTheme="minorHAnsi"/>
          <w:bCs/>
        </w:rPr>
        <w:t xml:space="preserve">he PA DEP has developed </w:t>
      </w:r>
      <w:r w:rsidR="00A47213">
        <w:rPr>
          <w:rFonts w:eastAsiaTheme="minorHAnsi"/>
          <w:bCs/>
        </w:rPr>
        <w:t xml:space="preserve">draft final-form </w:t>
      </w:r>
      <w:r w:rsidR="001620C0">
        <w:rPr>
          <w:rFonts w:eastAsiaTheme="minorHAnsi"/>
          <w:bCs/>
        </w:rPr>
        <w:t xml:space="preserve">regulations </w:t>
      </w:r>
      <w:r w:rsidR="00A47213">
        <w:rPr>
          <w:rFonts w:eastAsiaTheme="minorHAnsi"/>
          <w:bCs/>
        </w:rPr>
        <w:t xml:space="preserve">to be promulgated at 25 Pa. Code Sections 129.121 to 120.130, that will meet the requirements of the CTG </w:t>
      </w:r>
      <w:r w:rsidR="001620C0">
        <w:rPr>
          <w:rFonts w:eastAsiaTheme="minorHAnsi"/>
          <w:bCs/>
        </w:rPr>
        <w:t>for existing sources of natural gas and oil facilities</w:t>
      </w:r>
      <w:r w:rsidR="00A47213">
        <w:rPr>
          <w:rFonts w:eastAsiaTheme="minorHAnsi"/>
          <w:bCs/>
        </w:rPr>
        <w:t xml:space="preserve">.  </w:t>
      </w:r>
      <w:r w:rsidR="001620C0">
        <w:rPr>
          <w:rFonts w:eastAsiaTheme="minorHAnsi"/>
          <w:bCs/>
        </w:rPr>
        <w:t>Sources covered by the regulation</w:t>
      </w:r>
      <w:r w:rsidR="00A47213">
        <w:rPr>
          <w:rFonts w:eastAsiaTheme="minorHAnsi"/>
          <w:bCs/>
        </w:rPr>
        <w:t>s</w:t>
      </w:r>
      <w:r w:rsidR="001620C0">
        <w:rPr>
          <w:rFonts w:eastAsiaTheme="minorHAnsi"/>
          <w:bCs/>
        </w:rPr>
        <w:t xml:space="preserve"> are storage vessels, natural gas-driven pneumatic controllers, natural gas-driven diaphra</w:t>
      </w:r>
      <w:r w:rsidR="003216F7">
        <w:rPr>
          <w:rFonts w:eastAsiaTheme="minorHAnsi"/>
          <w:bCs/>
        </w:rPr>
        <w:t xml:space="preserve">gm pumps, centrifugal and reciprocating compressors, and fugitive emissions. </w:t>
      </w:r>
      <w:r w:rsidR="002850C2">
        <w:rPr>
          <w:rFonts w:eastAsiaTheme="minorHAnsi"/>
          <w:bCs/>
        </w:rPr>
        <w:t>Note that w</w:t>
      </w:r>
      <w:r w:rsidR="002850C2">
        <w:t xml:space="preserve">ells are not affected sources under the CTG or the final-form rulemaking. </w:t>
      </w:r>
      <w:r w:rsidR="00A47213">
        <w:rPr>
          <w:rFonts w:eastAsiaTheme="minorHAnsi"/>
          <w:bCs/>
        </w:rPr>
        <w:t xml:space="preserve">While the PA DEP regulations differ to some extent from the EPA CTG, the DEP </w:t>
      </w:r>
      <w:r w:rsidR="008F02A4">
        <w:rPr>
          <w:rFonts w:eastAsiaTheme="minorHAnsi"/>
          <w:bCs/>
        </w:rPr>
        <w:t>has evaluated each source to be regulated to ensure alignment with EPA’s CTG.</w:t>
      </w:r>
    </w:p>
    <w:p w14:paraId="1E58675C" w14:textId="77777777" w:rsidR="00A47213" w:rsidRDefault="00A47213" w:rsidP="00A47213">
      <w:pPr>
        <w:jc w:val="both"/>
      </w:pPr>
    </w:p>
    <w:p w14:paraId="117EEA3D" w14:textId="07D4B555" w:rsidR="0090517C" w:rsidRDefault="0090517C" w:rsidP="0090517C">
      <w:pPr>
        <w:autoSpaceDE w:val="0"/>
        <w:autoSpaceDN w:val="0"/>
        <w:adjustRightInd w:val="0"/>
      </w:pPr>
      <w:r>
        <w:rPr>
          <w:rFonts w:eastAsiaTheme="minorHAnsi"/>
          <w:bCs/>
        </w:rPr>
        <w:t>ACHD is incorporating the proposed PA DEP regulations by reference. In so doing</w:t>
      </w:r>
      <w:r w:rsidR="00703C37">
        <w:rPr>
          <w:rFonts w:eastAsiaTheme="minorHAnsi"/>
          <w:bCs/>
        </w:rPr>
        <w:t>,</w:t>
      </w:r>
      <w:r>
        <w:rPr>
          <w:rFonts w:eastAsiaTheme="minorHAnsi"/>
          <w:bCs/>
        </w:rPr>
        <w:t xml:space="preserve"> t</w:t>
      </w:r>
      <w:r>
        <w:t>hese Article XXI proposed regulations will have requirements similar to those of the federal CTG</w:t>
      </w:r>
      <w:r w:rsidR="00703C37">
        <w:t>, as explained above</w:t>
      </w:r>
      <w:r>
        <w:t>. The proposed incorporated by reference regulation will fulfill the County’s requirements to include the Oil and Natural Gas Industry CTG in its portion of the Pennsylvania SIP.</w:t>
      </w:r>
    </w:p>
    <w:p w14:paraId="4CECE613" w14:textId="77777777" w:rsidR="001C080B" w:rsidRDefault="001C080B" w:rsidP="00512EBD"/>
    <w:p w14:paraId="403876CE" w14:textId="063D454A" w:rsidR="009C0B70" w:rsidRDefault="00512EBD" w:rsidP="00F63E02">
      <w:r>
        <w:t>The</w:t>
      </w:r>
      <w:r w:rsidRPr="008C2DD2">
        <w:t xml:space="preserve"> </w:t>
      </w:r>
      <w:r>
        <w:t xml:space="preserve">addition of </w:t>
      </w:r>
      <w:r w:rsidRPr="005F4BA5">
        <w:rPr>
          <w:b/>
        </w:rPr>
        <w:t>§2105</w:t>
      </w:r>
      <w:r w:rsidRPr="00182D3A">
        <w:rPr>
          <w:b/>
        </w:rPr>
        <w:t>.</w:t>
      </w:r>
      <w:r>
        <w:rPr>
          <w:b/>
        </w:rPr>
        <w:t>8</w:t>
      </w:r>
      <w:r w:rsidR="006B023F">
        <w:rPr>
          <w:b/>
        </w:rPr>
        <w:t>7</w:t>
      </w:r>
      <w:r>
        <w:t xml:space="preserve"> t</w:t>
      </w:r>
      <w:r w:rsidRPr="00182D3A">
        <w:t>o</w:t>
      </w:r>
      <w:r w:rsidRPr="008C2DD2">
        <w:t xml:space="preserve"> Article XXI </w:t>
      </w:r>
      <w:r>
        <w:t>constitute</w:t>
      </w:r>
      <w:r w:rsidR="006B023F">
        <w:t xml:space="preserve">s </w:t>
      </w:r>
      <w:r>
        <w:t>a change to</w:t>
      </w:r>
      <w:r w:rsidRPr="008C2DD2">
        <w:t xml:space="preserve"> the Allegheny County portion of the </w:t>
      </w:r>
      <w:r>
        <w:t xml:space="preserve">Pennsylvania </w:t>
      </w:r>
      <w:r w:rsidRPr="008C2DD2">
        <w:t xml:space="preserve">State Implementation Plan (SIP) </w:t>
      </w:r>
      <w:r>
        <w:t>for the control of ozone</w:t>
      </w:r>
      <w:r w:rsidRPr="008C2DD2">
        <w:t>.</w:t>
      </w:r>
    </w:p>
    <w:p w14:paraId="7797DF54" w14:textId="50FE2C60" w:rsidR="00C45A27" w:rsidRDefault="00C45A27">
      <w:pPr>
        <w:spacing w:after="200" w:line="276" w:lineRule="auto"/>
      </w:pPr>
      <w:r>
        <w:br w:type="page"/>
      </w:r>
    </w:p>
    <w:p w14:paraId="41F92F6C" w14:textId="77777777" w:rsidR="00703C37" w:rsidRDefault="00703C37">
      <w:pPr>
        <w:spacing w:after="200" w:line="276" w:lineRule="auto"/>
      </w:pPr>
      <w:bookmarkStart w:id="0" w:name="_GoBack"/>
      <w:bookmarkEnd w:id="0"/>
    </w:p>
    <w:p w14:paraId="7F8A8D12" w14:textId="45941D73" w:rsidR="009C0B70" w:rsidRPr="000F3544" w:rsidRDefault="009C0B70">
      <w:pPr>
        <w:spacing w:after="200" w:line="276" w:lineRule="auto"/>
        <w:rPr>
          <w:b/>
          <w:bCs/>
          <w:u w:val="single"/>
        </w:rPr>
      </w:pPr>
      <w:r w:rsidRPr="000F3544">
        <w:rPr>
          <w:b/>
          <w:bCs/>
          <w:u w:val="single"/>
        </w:rPr>
        <w:t xml:space="preserve">B.  </w:t>
      </w:r>
      <w:r w:rsidR="00186E48">
        <w:rPr>
          <w:b/>
          <w:bCs/>
          <w:u w:val="single"/>
        </w:rPr>
        <w:t>What is being incorporated by reference</w:t>
      </w:r>
    </w:p>
    <w:p w14:paraId="65FF709F" w14:textId="6DF3966E" w:rsidR="009E5FC2" w:rsidRDefault="009E5FC2" w:rsidP="00703C37">
      <w:r>
        <w:t xml:space="preserve">Attached for purposes of </w:t>
      </w:r>
      <w:r w:rsidR="00E9668D">
        <w:t>defining</w:t>
      </w:r>
      <w:r>
        <w:t xml:space="preserve"> the regulation that is being incorporated by reference into Article XXI a</w:t>
      </w:r>
      <w:r w:rsidR="00E9668D">
        <w:t>t</w:t>
      </w:r>
      <w:r>
        <w:t xml:space="preserve"> Section 2105.87, is the Pennsylvania Department of Environmental Protections p</w:t>
      </w:r>
      <w:r w:rsidR="002F4EDA" w:rsidRPr="009E5FC2">
        <w:t>roposed 25 Pa. Code Sections 129.121 to 129.130</w:t>
      </w:r>
      <w:r>
        <w:t>,</w:t>
      </w:r>
      <w:r w:rsidR="002F4EDA" w:rsidRPr="009E5FC2">
        <w:t xml:space="preserve"> as </w:t>
      </w:r>
      <w:r>
        <w:t xml:space="preserve">it was </w:t>
      </w:r>
      <w:r w:rsidR="002F4EDA" w:rsidRPr="009E5FC2">
        <w:t xml:space="preserve">presented </w:t>
      </w:r>
      <w:r w:rsidR="00703C37" w:rsidRPr="009E5FC2">
        <w:t xml:space="preserve">to </w:t>
      </w:r>
      <w:r>
        <w:t xml:space="preserve">the December 9, 2021 meeting of </w:t>
      </w:r>
      <w:r w:rsidR="00703C37" w:rsidRPr="009E5FC2">
        <w:t>Pennsylvania</w:t>
      </w:r>
      <w:r>
        <w:t xml:space="preserve"> </w:t>
      </w:r>
      <w:r w:rsidR="00703C37" w:rsidRPr="009E5FC2">
        <w:t>Air Quality Technical Advisory Committee</w:t>
      </w:r>
      <w:r>
        <w:t xml:space="preserve">.  </w:t>
      </w:r>
    </w:p>
    <w:p w14:paraId="633B3D49" w14:textId="2E0EB152" w:rsidR="009C0B70" w:rsidRPr="009E5FC2" w:rsidRDefault="009E5FC2" w:rsidP="009E5FC2">
      <w:r>
        <w:t xml:space="preserve">The document file name is </w:t>
      </w:r>
      <w:r w:rsidR="002F4EDA" w:rsidRPr="009E5FC2">
        <w:t>“O &amp; G FRN Annex A AQTAC 10-27-2021 Draft</w:t>
      </w:r>
      <w:r>
        <w:t>.</w:t>
      </w:r>
      <w:r w:rsidR="002F4EDA" w:rsidRPr="009E5FC2">
        <w:t>”</w:t>
      </w:r>
    </w:p>
    <w:p w14:paraId="274BF3CC" w14:textId="6E8BA1C1" w:rsidR="009C0B70" w:rsidRDefault="00FF66F0">
      <w:pPr>
        <w:spacing w:after="200" w:line="276" w:lineRule="auto"/>
      </w:pPr>
      <w:r>
        <w:t xml:space="preserve">Please click on the icon below to view the </w:t>
      </w:r>
      <w:r w:rsidR="009E5FC2">
        <w:t>document.</w:t>
      </w:r>
    </w:p>
    <w:p w14:paraId="7687B05E" w14:textId="1BFBB7AF" w:rsidR="00FF66F0" w:rsidRDefault="00ED348C">
      <w:pPr>
        <w:spacing w:after="200" w:line="276" w:lineRule="auto"/>
      </w:pPr>
      <w:r>
        <w:object w:dxaOrig="1516" w:dyaOrig="989" w14:anchorId="7DD6C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AcroExch.Document.DC" ShapeID="_x0000_i1025" DrawAspect="Icon" ObjectID="_1702990740" r:id="rId6"/>
        </w:object>
      </w:r>
    </w:p>
    <w:p w14:paraId="063B819E" w14:textId="7BA20884" w:rsidR="00FF66F0" w:rsidRDefault="004D03FF" w:rsidP="009E5FC2">
      <w:r>
        <w:t xml:space="preserve">The </w:t>
      </w:r>
      <w:r w:rsidR="009E5FC2">
        <w:t xml:space="preserve">regulation was subject to public comment and </w:t>
      </w:r>
      <w:r>
        <w:t xml:space="preserve">changes made since the public comment period are shown in the above DEP document in bold, capitalized text for additions, and ‘strikethrough’ for deletions.  Below is a summary of the changes </w:t>
      </w:r>
      <w:r w:rsidR="009E5FC2">
        <w:t>to each</w:t>
      </w:r>
      <w:r>
        <w:t xml:space="preserve"> section.</w:t>
      </w:r>
    </w:p>
    <w:p w14:paraId="077212C9" w14:textId="77777777" w:rsidR="009E5FC2" w:rsidRDefault="009E5FC2" w:rsidP="009E5FC2"/>
    <w:p w14:paraId="1C065BF6" w14:textId="77777777" w:rsidR="004D03FF" w:rsidRPr="00703C37" w:rsidRDefault="004D03FF" w:rsidP="004D03FF">
      <w:pPr>
        <w:rPr>
          <w:sz w:val="22"/>
          <w:szCs w:val="22"/>
        </w:rPr>
      </w:pPr>
      <w:r w:rsidRPr="00703C37">
        <w:rPr>
          <w:sz w:val="22"/>
          <w:szCs w:val="22"/>
        </w:rPr>
        <w:t>§ 129.121: General provisions and applicability.</w:t>
      </w:r>
    </w:p>
    <w:p w14:paraId="6EA9B3EA" w14:textId="77777777" w:rsidR="004D03FF" w:rsidRPr="00703C37" w:rsidRDefault="004D03FF" w:rsidP="006E10A3">
      <w:pPr>
        <w:spacing w:after="200" w:line="276" w:lineRule="auto"/>
        <w:ind w:left="360" w:hanging="180"/>
        <w:rPr>
          <w:sz w:val="22"/>
          <w:szCs w:val="22"/>
        </w:rPr>
      </w:pPr>
      <w:r w:rsidRPr="00703C37">
        <w:rPr>
          <w:sz w:val="22"/>
          <w:szCs w:val="22"/>
        </w:rPr>
        <w:t xml:space="preserve"> • Updated the applicability for natural gas-driven pneumatic controller to clarify the final-form rulemaking applies to natural gas-driven continuous bleed pneumatic controller. </w:t>
      </w:r>
    </w:p>
    <w:p w14:paraId="555939AD" w14:textId="77777777" w:rsidR="004D03FF" w:rsidRPr="00703C37" w:rsidRDefault="004D03FF" w:rsidP="004D03FF">
      <w:pPr>
        <w:rPr>
          <w:sz w:val="22"/>
          <w:szCs w:val="22"/>
        </w:rPr>
      </w:pPr>
      <w:r w:rsidRPr="00703C37">
        <w:rPr>
          <w:sz w:val="22"/>
          <w:szCs w:val="22"/>
        </w:rPr>
        <w:t>§ 129.122: Definitions, acronyms and EPA Methods.</w:t>
      </w:r>
    </w:p>
    <w:p w14:paraId="24E0484C" w14:textId="77777777" w:rsidR="004D03FF" w:rsidRPr="00703C37" w:rsidRDefault="004D03FF" w:rsidP="006E10A3">
      <w:pPr>
        <w:spacing w:after="200" w:line="276" w:lineRule="auto"/>
        <w:ind w:left="360" w:hanging="180"/>
        <w:rPr>
          <w:sz w:val="22"/>
          <w:szCs w:val="22"/>
        </w:rPr>
      </w:pPr>
      <w:r w:rsidRPr="00703C37">
        <w:rPr>
          <w:sz w:val="22"/>
          <w:szCs w:val="22"/>
        </w:rPr>
        <w:t xml:space="preserve"> • Some unnecessary terms were removed, and minor edits made to other terms for clarification. </w:t>
      </w:r>
    </w:p>
    <w:p w14:paraId="4C0A0C28" w14:textId="77777777" w:rsidR="004D03FF" w:rsidRPr="00703C37" w:rsidRDefault="004D03FF" w:rsidP="004D03FF">
      <w:pPr>
        <w:rPr>
          <w:sz w:val="22"/>
          <w:szCs w:val="22"/>
        </w:rPr>
      </w:pPr>
      <w:r w:rsidRPr="00703C37">
        <w:rPr>
          <w:sz w:val="22"/>
          <w:szCs w:val="22"/>
        </w:rPr>
        <w:t xml:space="preserve">§ 129.123. Storage vessels. </w:t>
      </w:r>
    </w:p>
    <w:p w14:paraId="51EAD95A" w14:textId="77777777" w:rsidR="004D03FF" w:rsidRPr="00703C37" w:rsidRDefault="004D03FF" w:rsidP="006E10A3">
      <w:pPr>
        <w:ind w:left="360" w:hanging="180"/>
        <w:rPr>
          <w:sz w:val="22"/>
          <w:szCs w:val="22"/>
        </w:rPr>
      </w:pPr>
      <w:r w:rsidRPr="00703C37">
        <w:rPr>
          <w:sz w:val="22"/>
          <w:szCs w:val="22"/>
        </w:rPr>
        <w:t xml:space="preserve">• Applicability for 95% VOC control is reduced to 2.7 tons per year (TPY) threshold for all storage vessels. </w:t>
      </w:r>
    </w:p>
    <w:p w14:paraId="1171F23F" w14:textId="388142C2" w:rsidR="004D03FF" w:rsidRPr="00703C37" w:rsidRDefault="004D03FF" w:rsidP="006E10A3">
      <w:pPr>
        <w:spacing w:after="200" w:line="276" w:lineRule="auto"/>
        <w:ind w:left="360" w:hanging="180"/>
        <w:rPr>
          <w:sz w:val="22"/>
          <w:szCs w:val="22"/>
        </w:rPr>
      </w:pPr>
      <w:r w:rsidRPr="00703C37">
        <w:rPr>
          <w:sz w:val="22"/>
          <w:szCs w:val="22"/>
        </w:rPr>
        <w:t>• Maximum daily average throughput changed to monthly average throughput to calculate actual VOC emissions.</w:t>
      </w:r>
    </w:p>
    <w:p w14:paraId="5EA8F6F6" w14:textId="77777777" w:rsidR="004D03FF" w:rsidRPr="00703C37" w:rsidRDefault="004D03FF" w:rsidP="004D03FF">
      <w:pPr>
        <w:rPr>
          <w:sz w:val="22"/>
          <w:szCs w:val="22"/>
        </w:rPr>
      </w:pPr>
      <w:r w:rsidRPr="00703C37">
        <w:rPr>
          <w:sz w:val="22"/>
          <w:szCs w:val="22"/>
        </w:rPr>
        <w:t>§ 129.124. Natural gas-driven continuous bleed pneumatic controllers.</w:t>
      </w:r>
    </w:p>
    <w:p w14:paraId="790DF2FB" w14:textId="77777777" w:rsidR="004D03FF" w:rsidRPr="00703C37" w:rsidRDefault="004D03FF" w:rsidP="006E10A3">
      <w:pPr>
        <w:spacing w:after="200" w:line="276" w:lineRule="auto"/>
        <w:ind w:left="360" w:hanging="180"/>
        <w:rPr>
          <w:sz w:val="22"/>
          <w:szCs w:val="22"/>
        </w:rPr>
      </w:pPr>
      <w:r w:rsidRPr="00703C37">
        <w:rPr>
          <w:sz w:val="22"/>
          <w:szCs w:val="22"/>
        </w:rPr>
        <w:t xml:space="preserve"> • Changed the term natural gas-driven pneumatic controller to natural gas-driven continuous bleed pneumatic controller for clarity.</w:t>
      </w:r>
    </w:p>
    <w:p w14:paraId="64EE1832" w14:textId="77777777" w:rsidR="004D03FF" w:rsidRPr="00703C37" w:rsidRDefault="004D03FF" w:rsidP="004D03FF">
      <w:pPr>
        <w:rPr>
          <w:sz w:val="22"/>
          <w:szCs w:val="22"/>
        </w:rPr>
      </w:pPr>
      <w:r w:rsidRPr="00703C37">
        <w:rPr>
          <w:sz w:val="22"/>
          <w:szCs w:val="22"/>
        </w:rPr>
        <w:t xml:space="preserve"> § 129.125. Natural gas-driven diaphragm pumps. </w:t>
      </w:r>
    </w:p>
    <w:p w14:paraId="68A7BFD0" w14:textId="77777777" w:rsidR="004D03FF" w:rsidRPr="00703C37" w:rsidRDefault="004D03FF" w:rsidP="006E10A3">
      <w:pPr>
        <w:spacing w:after="200" w:line="276" w:lineRule="auto"/>
        <w:ind w:left="360" w:hanging="180"/>
        <w:rPr>
          <w:sz w:val="22"/>
          <w:szCs w:val="22"/>
        </w:rPr>
      </w:pPr>
      <w:r w:rsidRPr="00703C37">
        <w:rPr>
          <w:sz w:val="22"/>
          <w:szCs w:val="22"/>
        </w:rPr>
        <w:t xml:space="preserve">• Minor edits for clarification, no significant changes were made. </w:t>
      </w:r>
    </w:p>
    <w:p w14:paraId="0AE5C2AF" w14:textId="77777777" w:rsidR="004D03FF" w:rsidRPr="00703C37" w:rsidRDefault="004D03FF" w:rsidP="004D03FF">
      <w:pPr>
        <w:rPr>
          <w:sz w:val="22"/>
          <w:szCs w:val="22"/>
        </w:rPr>
      </w:pPr>
      <w:r w:rsidRPr="00703C37">
        <w:rPr>
          <w:sz w:val="22"/>
          <w:szCs w:val="22"/>
        </w:rPr>
        <w:t>§ 129.126. Compressors.</w:t>
      </w:r>
    </w:p>
    <w:p w14:paraId="2C7BC9D6" w14:textId="77777777" w:rsidR="004D03FF" w:rsidRPr="00703C37" w:rsidRDefault="004D03FF" w:rsidP="006E10A3">
      <w:pPr>
        <w:ind w:left="360" w:hanging="180"/>
        <w:rPr>
          <w:sz w:val="22"/>
          <w:szCs w:val="22"/>
        </w:rPr>
      </w:pPr>
      <w:r w:rsidRPr="00703C37">
        <w:rPr>
          <w:sz w:val="22"/>
          <w:szCs w:val="22"/>
        </w:rPr>
        <w:t xml:space="preserve"> • Changed the applicability for reciprocating compressors to require rod packing changes for reciprocating compressors located at well sites. </w:t>
      </w:r>
    </w:p>
    <w:p w14:paraId="1F33CE34" w14:textId="11953B98" w:rsidR="006E10A3" w:rsidRPr="00703C37" w:rsidRDefault="004D03FF" w:rsidP="006E10A3">
      <w:pPr>
        <w:spacing w:after="200" w:line="276" w:lineRule="auto"/>
        <w:ind w:left="360" w:hanging="180"/>
        <w:rPr>
          <w:sz w:val="22"/>
          <w:szCs w:val="22"/>
        </w:rPr>
      </w:pPr>
      <w:r w:rsidRPr="00703C37">
        <w:rPr>
          <w:sz w:val="22"/>
          <w:szCs w:val="22"/>
        </w:rPr>
        <w:t>• Allowed routing the VOC emissions from a reciprocating compressor to a control device in addition to a process</w:t>
      </w:r>
      <w:r w:rsidR="006E10A3" w:rsidRPr="00703C37">
        <w:rPr>
          <w:sz w:val="22"/>
          <w:szCs w:val="22"/>
        </w:rPr>
        <w:t>.</w:t>
      </w:r>
    </w:p>
    <w:p w14:paraId="29BA2332" w14:textId="77777777" w:rsidR="004D03FF" w:rsidRPr="00703C37" w:rsidRDefault="004D03FF" w:rsidP="004D03FF">
      <w:pPr>
        <w:rPr>
          <w:sz w:val="22"/>
          <w:szCs w:val="22"/>
        </w:rPr>
      </w:pPr>
      <w:r w:rsidRPr="00703C37">
        <w:rPr>
          <w:sz w:val="22"/>
          <w:szCs w:val="22"/>
        </w:rPr>
        <w:t xml:space="preserve">§ 129.127. Fugitive emissions components. </w:t>
      </w:r>
    </w:p>
    <w:p w14:paraId="42427DB0" w14:textId="77777777" w:rsidR="004D03FF" w:rsidRPr="00703C37" w:rsidRDefault="004D03FF" w:rsidP="006E10A3">
      <w:pPr>
        <w:ind w:left="360" w:hanging="180"/>
        <w:rPr>
          <w:sz w:val="22"/>
          <w:szCs w:val="22"/>
        </w:rPr>
      </w:pPr>
      <w:r w:rsidRPr="00703C37">
        <w:rPr>
          <w:sz w:val="22"/>
          <w:szCs w:val="22"/>
        </w:rPr>
        <w:t>• Well site producing, on average, equal to or greater than 15 BOE per day, with at least one well producing, on average, equal to or greater than 15 BOE per day, must perform quarterly LDAR inspection.</w:t>
      </w:r>
    </w:p>
    <w:p w14:paraId="71281C19" w14:textId="64E50D77" w:rsidR="004D03FF" w:rsidRPr="00703C37" w:rsidRDefault="004D03FF" w:rsidP="006E10A3">
      <w:pPr>
        <w:ind w:left="360" w:hanging="180"/>
        <w:rPr>
          <w:sz w:val="22"/>
          <w:szCs w:val="22"/>
        </w:rPr>
      </w:pPr>
      <w:r w:rsidRPr="00703C37">
        <w:rPr>
          <w:sz w:val="22"/>
          <w:szCs w:val="22"/>
        </w:rPr>
        <w:lastRenderedPageBreak/>
        <w:t xml:space="preserve"> • Well site producing, on average, equal to or greater than 15 BOE per day, and at least one well producing, on average, equal to or greater than 5 BOE per day but less than 15 BOE per day must perform annual LDAR inspections. Operators in this category can request an exemption from the annual instrument-based LDAR inspection on a case-by-case basis.</w:t>
      </w:r>
    </w:p>
    <w:p w14:paraId="36E8AB7B" w14:textId="77777777" w:rsidR="004D03FF" w:rsidRPr="00703C37" w:rsidRDefault="004D03FF" w:rsidP="006E10A3">
      <w:pPr>
        <w:ind w:left="360" w:hanging="180"/>
        <w:rPr>
          <w:sz w:val="22"/>
          <w:szCs w:val="22"/>
        </w:rPr>
      </w:pPr>
      <w:r w:rsidRPr="00703C37">
        <w:rPr>
          <w:sz w:val="22"/>
          <w:szCs w:val="22"/>
        </w:rPr>
        <w:t xml:space="preserve">• Removed 2% leak step-down provision and replaced it with the following production-based provision: </w:t>
      </w:r>
    </w:p>
    <w:p w14:paraId="130706C0" w14:textId="77777777" w:rsidR="004D03FF" w:rsidRPr="00703C37" w:rsidRDefault="004D03FF" w:rsidP="006E10A3">
      <w:pPr>
        <w:ind w:left="720" w:hanging="180"/>
        <w:rPr>
          <w:sz w:val="22"/>
          <w:szCs w:val="22"/>
        </w:rPr>
      </w:pPr>
      <w:r w:rsidRPr="00703C37">
        <w:rPr>
          <w:sz w:val="22"/>
          <w:szCs w:val="22"/>
        </w:rPr>
        <w:t xml:space="preserve">• Well site production and individual well production must be calculated on an annual basis. </w:t>
      </w:r>
    </w:p>
    <w:p w14:paraId="3C16A1D8" w14:textId="77777777" w:rsidR="004D03FF" w:rsidRPr="00703C37" w:rsidRDefault="004D03FF" w:rsidP="006E10A3">
      <w:pPr>
        <w:ind w:left="720" w:hanging="180"/>
        <w:rPr>
          <w:sz w:val="22"/>
          <w:szCs w:val="22"/>
        </w:rPr>
      </w:pPr>
      <w:r w:rsidRPr="00703C37">
        <w:rPr>
          <w:sz w:val="22"/>
          <w:szCs w:val="22"/>
        </w:rPr>
        <w:t xml:space="preserve">• If the result of the calculation would allow the well site to inspect at a lower frequency, the owner or operator may adopt the less frequent inspections after two consecutive calculations. </w:t>
      </w:r>
    </w:p>
    <w:p w14:paraId="41F3EC68" w14:textId="36F697E5" w:rsidR="004D03FF" w:rsidRPr="00703C37" w:rsidRDefault="004D03FF" w:rsidP="006E10A3">
      <w:pPr>
        <w:spacing w:after="200" w:line="276" w:lineRule="auto"/>
        <w:ind w:left="720" w:hanging="180"/>
        <w:rPr>
          <w:sz w:val="22"/>
          <w:szCs w:val="22"/>
        </w:rPr>
      </w:pPr>
      <w:r w:rsidRPr="00703C37">
        <w:rPr>
          <w:sz w:val="22"/>
          <w:szCs w:val="22"/>
        </w:rPr>
        <w:t>• If the result of the calculation would require the well site to inspect at a higher frequency, the owner or operator shall adopt the higher frequency of inspection immediatel</w:t>
      </w:r>
      <w:r w:rsidR="006E10A3" w:rsidRPr="00703C37">
        <w:rPr>
          <w:sz w:val="22"/>
          <w:szCs w:val="22"/>
        </w:rPr>
        <w:t>y</w:t>
      </w:r>
    </w:p>
    <w:p w14:paraId="74F54BED" w14:textId="77777777" w:rsidR="004D03FF" w:rsidRPr="00703C37" w:rsidRDefault="004D03FF" w:rsidP="006E10A3">
      <w:pPr>
        <w:rPr>
          <w:sz w:val="22"/>
          <w:szCs w:val="22"/>
        </w:rPr>
      </w:pPr>
      <w:r w:rsidRPr="00703C37">
        <w:rPr>
          <w:sz w:val="22"/>
          <w:szCs w:val="22"/>
        </w:rPr>
        <w:t>§ 129.128. Covers and closed vent systems.</w:t>
      </w:r>
    </w:p>
    <w:p w14:paraId="11FF2A72" w14:textId="77777777" w:rsidR="004D03FF" w:rsidRPr="00703C37" w:rsidRDefault="004D03FF" w:rsidP="006E10A3">
      <w:pPr>
        <w:spacing w:after="200" w:line="276" w:lineRule="auto"/>
        <w:ind w:left="360" w:hanging="180"/>
        <w:rPr>
          <w:sz w:val="22"/>
          <w:szCs w:val="22"/>
        </w:rPr>
      </w:pPr>
      <w:r w:rsidRPr="00703C37">
        <w:rPr>
          <w:sz w:val="22"/>
          <w:szCs w:val="22"/>
        </w:rPr>
        <w:t xml:space="preserve"> • The requirements for initial AVO inspections were changed from 30 days to 60 days after the effective date of the final-form rulemaking. </w:t>
      </w:r>
    </w:p>
    <w:p w14:paraId="4D8E75E3" w14:textId="77777777" w:rsidR="006E10A3" w:rsidRPr="00703C37" w:rsidRDefault="004D03FF" w:rsidP="006E10A3">
      <w:pPr>
        <w:rPr>
          <w:sz w:val="22"/>
          <w:szCs w:val="22"/>
        </w:rPr>
      </w:pPr>
      <w:r w:rsidRPr="00703C37">
        <w:rPr>
          <w:sz w:val="22"/>
          <w:szCs w:val="22"/>
        </w:rPr>
        <w:t xml:space="preserve">§ 129.129. Control devices. </w:t>
      </w:r>
    </w:p>
    <w:p w14:paraId="3BBCB679" w14:textId="3D3FA44A" w:rsidR="004D03FF" w:rsidRPr="00703C37" w:rsidRDefault="004D03FF" w:rsidP="006E10A3">
      <w:pPr>
        <w:spacing w:after="200" w:line="276" w:lineRule="auto"/>
        <w:ind w:left="360" w:hanging="180"/>
        <w:rPr>
          <w:sz w:val="22"/>
          <w:szCs w:val="22"/>
        </w:rPr>
      </w:pPr>
      <w:r w:rsidRPr="00703C37">
        <w:rPr>
          <w:sz w:val="22"/>
          <w:szCs w:val="22"/>
        </w:rPr>
        <w:t xml:space="preserve">• Minor clarifications are made to performance testing requirement. </w:t>
      </w:r>
    </w:p>
    <w:p w14:paraId="13135EDA" w14:textId="77777777" w:rsidR="004D03FF" w:rsidRPr="00703C37" w:rsidRDefault="004D03FF" w:rsidP="006E10A3">
      <w:pPr>
        <w:rPr>
          <w:sz w:val="22"/>
          <w:szCs w:val="22"/>
        </w:rPr>
      </w:pPr>
      <w:r w:rsidRPr="00703C37">
        <w:rPr>
          <w:sz w:val="22"/>
          <w:szCs w:val="22"/>
        </w:rPr>
        <w:t xml:space="preserve">§ 129.130. Recordkeeping and reporting. </w:t>
      </w:r>
    </w:p>
    <w:p w14:paraId="28947288" w14:textId="51B11F87" w:rsidR="004D03FF" w:rsidRPr="00703C37" w:rsidRDefault="004D03FF" w:rsidP="006E10A3">
      <w:pPr>
        <w:spacing w:after="200" w:line="276" w:lineRule="auto"/>
        <w:ind w:left="360" w:hanging="180"/>
        <w:rPr>
          <w:sz w:val="22"/>
          <w:szCs w:val="22"/>
        </w:rPr>
      </w:pPr>
      <w:r w:rsidRPr="00703C37">
        <w:rPr>
          <w:sz w:val="22"/>
          <w:szCs w:val="22"/>
        </w:rPr>
        <w:t>• Minor edits were made to reflect the reduction to 2.7 TPY threshold for storage vessels and refer to natural gas continuous bleed pneumatic controllers.</w:t>
      </w:r>
    </w:p>
    <w:p w14:paraId="3312A263" w14:textId="77777777" w:rsidR="004D03FF" w:rsidRDefault="004D03FF">
      <w:pPr>
        <w:spacing w:after="200" w:line="276" w:lineRule="auto"/>
      </w:pPr>
    </w:p>
    <w:p w14:paraId="1C470279" w14:textId="22F31A0E" w:rsidR="009C0B70" w:rsidRDefault="009C0B70">
      <w:pPr>
        <w:spacing w:after="200" w:line="276" w:lineRule="auto"/>
      </w:pPr>
      <w:r>
        <w:br w:type="page"/>
      </w:r>
    </w:p>
    <w:p w14:paraId="09A9D572" w14:textId="1C800AB3" w:rsidR="00512EBD" w:rsidRDefault="00512EBD" w:rsidP="00F63E02"/>
    <w:p w14:paraId="536E3906" w14:textId="77777777" w:rsidR="00512EBD" w:rsidRDefault="00512EBD" w:rsidP="00512EBD"/>
    <w:p w14:paraId="468E8760" w14:textId="77777777" w:rsidR="00512EBD" w:rsidRDefault="00512EBD" w:rsidP="00512EBD"/>
    <w:p w14:paraId="64EC52CD" w14:textId="77777777" w:rsidR="00512EBD" w:rsidRDefault="00512EBD" w:rsidP="00512EBD"/>
    <w:p w14:paraId="59317603" w14:textId="77777777" w:rsidR="00512EBD" w:rsidRDefault="00512EBD" w:rsidP="00512EBD"/>
    <w:p w14:paraId="59892E60" w14:textId="77777777" w:rsidR="00512EBD" w:rsidRDefault="00512EBD" w:rsidP="00512EBD"/>
    <w:p w14:paraId="7EC4F82E" w14:textId="77777777" w:rsidR="00512EBD" w:rsidRDefault="00512EBD" w:rsidP="00512EBD"/>
    <w:p w14:paraId="6571FEB6" w14:textId="77777777" w:rsidR="00512EBD" w:rsidRDefault="00512EBD" w:rsidP="00512EBD"/>
    <w:p w14:paraId="61456BA6" w14:textId="77777777" w:rsidR="00512EBD" w:rsidRDefault="00512EBD" w:rsidP="00512EBD"/>
    <w:p w14:paraId="3F3FAFD9" w14:textId="77777777" w:rsidR="00512EBD" w:rsidRDefault="00512EBD" w:rsidP="00512EBD"/>
    <w:p w14:paraId="0949EAEE" w14:textId="77777777" w:rsidR="00512EBD" w:rsidRDefault="00512EBD" w:rsidP="00512EBD"/>
    <w:p w14:paraId="73C670CB" w14:textId="77777777" w:rsidR="00512EBD" w:rsidRDefault="00512EBD" w:rsidP="00512EBD"/>
    <w:p w14:paraId="1EE20EC3" w14:textId="77777777" w:rsidR="00512EBD" w:rsidRDefault="00512EBD" w:rsidP="00512EBD"/>
    <w:p w14:paraId="615D21C9" w14:textId="77777777" w:rsidR="00512EBD" w:rsidRDefault="00512EBD" w:rsidP="00512EBD">
      <w:pPr>
        <w:rPr>
          <w:b/>
        </w:rPr>
      </w:pPr>
    </w:p>
    <w:p w14:paraId="4CE5F8C8" w14:textId="77777777" w:rsidR="00512EBD" w:rsidRDefault="00512EBD" w:rsidP="00512EBD">
      <w:pPr>
        <w:rPr>
          <w:b/>
        </w:rPr>
      </w:pPr>
    </w:p>
    <w:p w14:paraId="2D85E58D" w14:textId="77777777" w:rsidR="00512EBD" w:rsidRDefault="00512EBD" w:rsidP="00512EBD">
      <w:pPr>
        <w:rPr>
          <w:b/>
        </w:rPr>
      </w:pPr>
    </w:p>
    <w:p w14:paraId="04C42459" w14:textId="77777777" w:rsidR="00512EBD" w:rsidRDefault="00512EBD" w:rsidP="00512EBD">
      <w:pPr>
        <w:rPr>
          <w:b/>
        </w:rPr>
      </w:pPr>
    </w:p>
    <w:p w14:paraId="73B320CD" w14:textId="77777777" w:rsidR="00512EBD" w:rsidRPr="008C2DD2" w:rsidRDefault="00512EBD" w:rsidP="00512EBD">
      <w:pPr>
        <w:pStyle w:val="BodyText"/>
        <w:widowControl w:val="0"/>
        <w:tabs>
          <w:tab w:val="left" w:pos="-108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080"/>
        <w:jc w:val="left"/>
        <w:textAlignment w:val="auto"/>
        <w:rPr>
          <w:rFonts w:ascii="Arial" w:hAnsi="Arial" w:cs="Arial"/>
        </w:rPr>
      </w:pPr>
      <w:r w:rsidRPr="008C2DD2">
        <w:rPr>
          <w:rFonts w:ascii="Arial" w:hAnsi="Arial" w:cs="Arial"/>
        </w:rPr>
        <w:t>3.  Documentation of Public Hearing and Certifications</w:t>
      </w:r>
    </w:p>
    <w:p w14:paraId="39FE5AB3" w14:textId="77777777" w:rsidR="00512EBD" w:rsidRDefault="00512EBD" w:rsidP="00512EBD">
      <w:pPr>
        <w:tabs>
          <w:tab w:val="left" w:pos="-1080"/>
          <w:tab w:val="left" w:pos="-720"/>
          <w:tab w:val="left" w:pos="1"/>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DEA532D" w14:textId="77777777" w:rsidR="00512EBD" w:rsidRPr="00330583" w:rsidRDefault="00512EBD" w:rsidP="00512EBD">
      <w:pPr>
        <w:tabs>
          <w:tab w:val="left" w:pos="-1080"/>
          <w:tab w:val="left" w:pos="-720"/>
          <w:tab w:val="left" w:pos="1"/>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5185D07F" w14:textId="77777777" w:rsidR="00512EBD" w:rsidRPr="00330583" w:rsidRDefault="00512EBD" w:rsidP="00512EBD">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rPr>
      </w:pPr>
      <w:r w:rsidRPr="00330583">
        <w:rPr>
          <w:rFonts w:cs="Arial"/>
        </w:rPr>
        <w:t>Notice of Public Hearing</w:t>
      </w:r>
      <w:r>
        <w:rPr>
          <w:rFonts w:cs="Arial"/>
        </w:rPr>
        <w:t xml:space="preserve"> (later)</w:t>
      </w:r>
    </w:p>
    <w:p w14:paraId="159C6863" w14:textId="77777777" w:rsidR="00512EBD" w:rsidRPr="00330583" w:rsidRDefault="00512EBD" w:rsidP="00512EBD">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rPr>
      </w:pPr>
      <w:r w:rsidRPr="00330583">
        <w:rPr>
          <w:rFonts w:cs="Arial"/>
        </w:rPr>
        <w:t>Transmittals of hearing notice to EPA &amp; PA DEP</w:t>
      </w:r>
      <w:r>
        <w:rPr>
          <w:rFonts w:cs="Arial"/>
        </w:rPr>
        <w:t xml:space="preserve"> (later)</w:t>
      </w:r>
    </w:p>
    <w:p w14:paraId="2C5D660C" w14:textId="77777777" w:rsidR="00512EBD" w:rsidRPr="00330583" w:rsidRDefault="00512EBD" w:rsidP="00512EBD">
      <w:pPr>
        <w:tabs>
          <w:tab w:val="left" w:pos="1440"/>
        </w:tabs>
        <w:ind w:left="1440"/>
        <w:rPr>
          <w:rFonts w:cs="Arial"/>
        </w:rPr>
      </w:pPr>
      <w:r w:rsidRPr="00330583">
        <w:rPr>
          <w:rFonts w:cs="Arial"/>
        </w:rPr>
        <w:t>Proof of publication of no</w:t>
      </w:r>
      <w:r>
        <w:rPr>
          <w:rFonts w:cs="Arial"/>
        </w:rPr>
        <w:t>tice of hearing (later)</w:t>
      </w:r>
    </w:p>
    <w:p w14:paraId="1620AA29" w14:textId="77777777" w:rsidR="00512EBD" w:rsidRPr="00330583" w:rsidRDefault="00512EBD" w:rsidP="00512EBD">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rPr>
      </w:pPr>
      <w:r w:rsidRPr="00330583">
        <w:rPr>
          <w:rFonts w:cs="Arial"/>
        </w:rPr>
        <w:t>Certification of hearing</w:t>
      </w:r>
      <w:r>
        <w:rPr>
          <w:rFonts w:cs="Arial"/>
        </w:rPr>
        <w:t xml:space="preserve"> (later)</w:t>
      </w:r>
    </w:p>
    <w:p w14:paraId="7E2CAB86" w14:textId="77777777" w:rsidR="00512EBD" w:rsidRPr="00330583" w:rsidRDefault="00512EBD" w:rsidP="00512EBD">
      <w:pPr>
        <w:tabs>
          <w:tab w:val="left" w:pos="-1080"/>
          <w:tab w:val="left" w:pos="-720"/>
          <w:tab w:val="left" w:pos="720"/>
          <w:tab w:val="left" w:pos="126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rPr>
      </w:pPr>
      <w:r w:rsidRPr="00330583">
        <w:rPr>
          <w:rFonts w:cs="Arial"/>
        </w:rPr>
        <w:t>Summary of Comments and responses</w:t>
      </w:r>
      <w:r>
        <w:rPr>
          <w:rFonts w:cs="Arial"/>
        </w:rPr>
        <w:t xml:space="preserve"> (later)</w:t>
      </w:r>
    </w:p>
    <w:p w14:paraId="12BD4292" w14:textId="77777777" w:rsidR="00512EBD" w:rsidRDefault="00512EBD" w:rsidP="00512EBD">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rPr>
      </w:pPr>
      <w:r w:rsidRPr="00330583">
        <w:rPr>
          <w:rFonts w:cs="Arial"/>
        </w:rPr>
        <w:t>Certification of approval and adoption</w:t>
      </w:r>
      <w:r>
        <w:rPr>
          <w:rFonts w:cs="Arial"/>
        </w:rPr>
        <w:t xml:space="preserve"> (later)</w:t>
      </w:r>
    </w:p>
    <w:p w14:paraId="01AF9D81" w14:textId="77777777" w:rsidR="00512EBD" w:rsidRPr="00512EBD" w:rsidRDefault="00512EBD" w:rsidP="00512EBD"/>
    <w:p w14:paraId="493A15C2" w14:textId="77777777" w:rsidR="0015033D" w:rsidRDefault="0015033D" w:rsidP="00512EBD">
      <w:pPr>
        <w:ind w:firstLine="720"/>
      </w:pPr>
    </w:p>
    <w:sectPr w:rsidR="0015033D" w:rsidSect="00273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3A"/>
    <w:multiLevelType w:val="hybridMultilevel"/>
    <w:tmpl w:val="06B469F2"/>
    <w:lvl w:ilvl="0" w:tplc="71AA2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A7A61"/>
    <w:multiLevelType w:val="hybridMultilevel"/>
    <w:tmpl w:val="6F5A2882"/>
    <w:lvl w:ilvl="0" w:tplc="2C5062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4368AF"/>
    <w:multiLevelType w:val="hybridMultilevel"/>
    <w:tmpl w:val="06B469F2"/>
    <w:lvl w:ilvl="0" w:tplc="71AA2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71415"/>
    <w:multiLevelType w:val="hybridMultilevel"/>
    <w:tmpl w:val="B400FD7E"/>
    <w:lvl w:ilvl="0" w:tplc="9C306CC8">
      <w:start w:val="1"/>
      <w:numFmt w:val="lowerLetter"/>
      <w:lvlText w:val="%1."/>
      <w:lvlJc w:val="left"/>
      <w:pPr>
        <w:ind w:left="495" w:hanging="360"/>
      </w:pPr>
      <w:rPr>
        <w:rFonts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32C749B3"/>
    <w:multiLevelType w:val="hybridMultilevel"/>
    <w:tmpl w:val="D3C4BEE4"/>
    <w:lvl w:ilvl="0" w:tplc="3328EBD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6D29CA"/>
    <w:multiLevelType w:val="hybridMultilevel"/>
    <w:tmpl w:val="C2E2E6FE"/>
    <w:lvl w:ilvl="0" w:tplc="9C306CC8">
      <w:start w:val="1"/>
      <w:numFmt w:val="lowerLetter"/>
      <w:lvlText w:val="%1."/>
      <w:lvlJc w:val="left"/>
      <w:pPr>
        <w:ind w:left="495" w:hanging="360"/>
      </w:pPr>
      <w:rPr>
        <w:rFonts w:hint="default"/>
      </w:rPr>
    </w:lvl>
    <w:lvl w:ilvl="1" w:tplc="4C04A194">
      <w:start w:val="1"/>
      <w:numFmt w:val="decimal"/>
      <w:lvlText w:val="%2."/>
      <w:lvlJc w:val="left"/>
      <w:pPr>
        <w:ind w:left="1215" w:hanging="360"/>
      </w:pPr>
      <w:rPr>
        <w:rFonts w:hint="default"/>
      </w:r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6B44785"/>
    <w:multiLevelType w:val="hybridMultilevel"/>
    <w:tmpl w:val="16FE5DCE"/>
    <w:lvl w:ilvl="0" w:tplc="ED7C753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E61CF2"/>
    <w:multiLevelType w:val="hybridMultilevel"/>
    <w:tmpl w:val="5C86FA74"/>
    <w:lvl w:ilvl="0" w:tplc="A4583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6"/>
    <w:rsid w:val="000209B2"/>
    <w:rsid w:val="00043536"/>
    <w:rsid w:val="000541F2"/>
    <w:rsid w:val="000A27F7"/>
    <w:rsid w:val="000A4BB6"/>
    <w:rsid w:val="000F1CD8"/>
    <w:rsid w:val="000F3544"/>
    <w:rsid w:val="00111365"/>
    <w:rsid w:val="00122A94"/>
    <w:rsid w:val="0015033D"/>
    <w:rsid w:val="001620C0"/>
    <w:rsid w:val="00182FB9"/>
    <w:rsid w:val="00186E48"/>
    <w:rsid w:val="001957B7"/>
    <w:rsid w:val="001C080B"/>
    <w:rsid w:val="001D2B33"/>
    <w:rsid w:val="002102C6"/>
    <w:rsid w:val="002738DE"/>
    <w:rsid w:val="00274632"/>
    <w:rsid w:val="002850C2"/>
    <w:rsid w:val="00286AA6"/>
    <w:rsid w:val="002C729C"/>
    <w:rsid w:val="002F4EDA"/>
    <w:rsid w:val="003216F7"/>
    <w:rsid w:val="00364E9C"/>
    <w:rsid w:val="00382F7D"/>
    <w:rsid w:val="0038577F"/>
    <w:rsid w:val="003B0B34"/>
    <w:rsid w:val="003F18BC"/>
    <w:rsid w:val="004412AA"/>
    <w:rsid w:val="00451BB2"/>
    <w:rsid w:val="00457CBD"/>
    <w:rsid w:val="00461D23"/>
    <w:rsid w:val="004D03FF"/>
    <w:rsid w:val="004E10E0"/>
    <w:rsid w:val="00512EBD"/>
    <w:rsid w:val="00515F05"/>
    <w:rsid w:val="00534D37"/>
    <w:rsid w:val="005F40B1"/>
    <w:rsid w:val="00660FF2"/>
    <w:rsid w:val="00674473"/>
    <w:rsid w:val="006B023F"/>
    <w:rsid w:val="006B7622"/>
    <w:rsid w:val="006E10A3"/>
    <w:rsid w:val="00703C37"/>
    <w:rsid w:val="007048C6"/>
    <w:rsid w:val="007865F9"/>
    <w:rsid w:val="007E21E5"/>
    <w:rsid w:val="0083477E"/>
    <w:rsid w:val="00863117"/>
    <w:rsid w:val="0086582F"/>
    <w:rsid w:val="008F02A4"/>
    <w:rsid w:val="00902566"/>
    <w:rsid w:val="0090517C"/>
    <w:rsid w:val="00987635"/>
    <w:rsid w:val="009C0B70"/>
    <w:rsid w:val="009E5FC2"/>
    <w:rsid w:val="00A00F42"/>
    <w:rsid w:val="00A01B8F"/>
    <w:rsid w:val="00A1208E"/>
    <w:rsid w:val="00A40E00"/>
    <w:rsid w:val="00A47213"/>
    <w:rsid w:val="00A72378"/>
    <w:rsid w:val="00A95914"/>
    <w:rsid w:val="00AA45D3"/>
    <w:rsid w:val="00B041A2"/>
    <w:rsid w:val="00B06669"/>
    <w:rsid w:val="00B4651E"/>
    <w:rsid w:val="00B50A60"/>
    <w:rsid w:val="00B66451"/>
    <w:rsid w:val="00BD387F"/>
    <w:rsid w:val="00BD4082"/>
    <w:rsid w:val="00BF6B8C"/>
    <w:rsid w:val="00C25F84"/>
    <w:rsid w:val="00C311C5"/>
    <w:rsid w:val="00C44778"/>
    <w:rsid w:val="00C45A27"/>
    <w:rsid w:val="00C57DDF"/>
    <w:rsid w:val="00CF2C16"/>
    <w:rsid w:val="00D33B67"/>
    <w:rsid w:val="00D35B4C"/>
    <w:rsid w:val="00D756A8"/>
    <w:rsid w:val="00D820D9"/>
    <w:rsid w:val="00DD429F"/>
    <w:rsid w:val="00DE4004"/>
    <w:rsid w:val="00DE79AA"/>
    <w:rsid w:val="00E9668D"/>
    <w:rsid w:val="00EB00F5"/>
    <w:rsid w:val="00EB1AA8"/>
    <w:rsid w:val="00ED348C"/>
    <w:rsid w:val="00ED3DE2"/>
    <w:rsid w:val="00F05FAD"/>
    <w:rsid w:val="00F353A7"/>
    <w:rsid w:val="00F52B04"/>
    <w:rsid w:val="00F63E02"/>
    <w:rsid w:val="00FA081A"/>
    <w:rsid w:val="00FE1966"/>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0CC894A"/>
  <w15:docId w15:val="{043B2777-504B-44F8-8637-31B4C736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3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C447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78"/>
    <w:pPr>
      <w:ind w:left="720"/>
      <w:contextualSpacing/>
    </w:pPr>
  </w:style>
  <w:style w:type="character" w:customStyle="1" w:styleId="Heading4Char">
    <w:name w:val="Heading 4 Char"/>
    <w:basedOn w:val="DefaultParagraphFont"/>
    <w:link w:val="Heading4"/>
    <w:rsid w:val="00C44778"/>
    <w:rPr>
      <w:rFonts w:ascii="Times New Roman" w:eastAsia="Times New Roman" w:hAnsi="Times New Roman" w:cs="Times New Roman"/>
      <w:b/>
      <w:bCs/>
      <w:sz w:val="24"/>
      <w:szCs w:val="24"/>
    </w:rPr>
  </w:style>
  <w:style w:type="paragraph" w:styleId="NormalWeb">
    <w:name w:val="Normal (Web)"/>
    <w:basedOn w:val="Normal"/>
    <w:rsid w:val="00C44778"/>
    <w:pPr>
      <w:spacing w:before="100" w:beforeAutospacing="1" w:after="100" w:afterAutospacing="1"/>
    </w:pPr>
  </w:style>
  <w:style w:type="paragraph" w:styleId="BodyText">
    <w:name w:val="Body Text"/>
    <w:basedOn w:val="Normal"/>
    <w:link w:val="BodyTextChar"/>
    <w:rsid w:val="00512EBD"/>
    <w:pPr>
      <w:overflowPunct w:val="0"/>
      <w:autoSpaceDE w:val="0"/>
      <w:autoSpaceDN w:val="0"/>
      <w:adjustRightInd w:val="0"/>
      <w:jc w:val="center"/>
      <w:textAlignment w:val="baseline"/>
    </w:pPr>
    <w:rPr>
      <w:rFonts w:ascii="Univers" w:hAnsi="Univers"/>
      <w:b/>
      <w:szCs w:val="20"/>
    </w:rPr>
  </w:style>
  <w:style w:type="character" w:customStyle="1" w:styleId="BodyTextChar">
    <w:name w:val="Body Text Char"/>
    <w:basedOn w:val="DefaultParagraphFont"/>
    <w:link w:val="BodyText"/>
    <w:rsid w:val="00512EBD"/>
    <w:rPr>
      <w:rFonts w:ascii="Univers" w:eastAsia="Times New Roman" w:hAnsi="Univers" w:cs="Times New Roman"/>
      <w:b/>
      <w:sz w:val="24"/>
      <w:szCs w:val="20"/>
    </w:rPr>
  </w:style>
  <w:style w:type="table" w:styleId="TableGrid">
    <w:name w:val="Table Grid"/>
    <w:basedOn w:val="TableNormal"/>
    <w:uiPriority w:val="59"/>
    <w:unhideWhenUsed/>
    <w:rsid w:val="001C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svozar</dc:creator>
  <cp:keywords/>
  <dc:description/>
  <cp:lastModifiedBy>Lattner, Tom</cp:lastModifiedBy>
  <cp:revision>4</cp:revision>
  <dcterms:created xsi:type="dcterms:W3CDTF">2022-01-06T21:07:00Z</dcterms:created>
  <dcterms:modified xsi:type="dcterms:W3CDTF">2022-01-06T21:13:00Z</dcterms:modified>
</cp:coreProperties>
</file>