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C8EB" w14:textId="65257688" w:rsidR="007F0EB8" w:rsidRPr="00960ACF" w:rsidRDefault="00052661" w:rsidP="00C17983">
      <w:pPr>
        <w:spacing w:after="0"/>
        <w:rPr>
          <w:b/>
          <w:bCs/>
          <w:sz w:val="16"/>
          <w:szCs w:val="16"/>
        </w:rPr>
      </w:pPr>
      <w:r w:rsidRPr="00960ACF">
        <w:rPr>
          <w:b/>
          <w:bCs/>
          <w:sz w:val="18"/>
          <w:szCs w:val="18"/>
        </w:rPr>
        <w:t xml:space="preserve">Arranged in </w:t>
      </w:r>
      <w:r w:rsidR="00CC3DC2">
        <w:rPr>
          <w:b/>
          <w:bCs/>
          <w:sz w:val="18"/>
          <w:szCs w:val="18"/>
        </w:rPr>
        <w:t xml:space="preserve">ascending </w:t>
      </w:r>
      <w:r w:rsidRPr="00960ACF">
        <w:rPr>
          <w:b/>
          <w:bCs/>
          <w:sz w:val="18"/>
          <w:szCs w:val="18"/>
        </w:rPr>
        <w:t>order of degree of completeness.</w:t>
      </w:r>
    </w:p>
    <w:tbl>
      <w:tblPr>
        <w:tblStyle w:val="TableGrid"/>
        <w:tblpPr w:leftFromText="180" w:rightFromText="180" w:horzAnchor="margin" w:tblpY="543"/>
        <w:tblW w:w="12955" w:type="dxa"/>
        <w:tblLook w:val="04A0" w:firstRow="1" w:lastRow="0" w:firstColumn="1" w:lastColumn="0" w:noHBand="0" w:noVBand="1"/>
      </w:tblPr>
      <w:tblGrid>
        <w:gridCol w:w="967"/>
        <w:gridCol w:w="2224"/>
        <w:gridCol w:w="2578"/>
        <w:gridCol w:w="2043"/>
        <w:gridCol w:w="2480"/>
        <w:gridCol w:w="2663"/>
      </w:tblGrid>
      <w:tr w:rsidR="00D426B9" w:rsidRPr="001B76E1" w14:paraId="1995AA3C" w14:textId="77777777" w:rsidTr="00A556F8">
        <w:trPr>
          <w:trHeight w:val="602"/>
          <w:tblHeader/>
        </w:trPr>
        <w:tc>
          <w:tcPr>
            <w:tcW w:w="967" w:type="dxa"/>
            <w:shd w:val="clear" w:color="auto" w:fill="FFFF00"/>
          </w:tcPr>
          <w:p w14:paraId="43C1A50B" w14:textId="77777777" w:rsidR="00AD6512" w:rsidRDefault="00AD6512" w:rsidP="007331BB">
            <w:pPr>
              <w:rPr>
                <w:b/>
              </w:rPr>
            </w:pPr>
          </w:p>
          <w:p w14:paraId="0401DD08" w14:textId="09880F5A" w:rsidR="00B9069F" w:rsidRPr="001B76E1" w:rsidRDefault="00B9069F" w:rsidP="007331BB">
            <w:pPr>
              <w:rPr>
                <w:b/>
              </w:rPr>
            </w:pPr>
          </w:p>
        </w:tc>
        <w:tc>
          <w:tcPr>
            <w:tcW w:w="2224" w:type="dxa"/>
            <w:shd w:val="clear" w:color="auto" w:fill="FFFF00"/>
          </w:tcPr>
          <w:p w14:paraId="5689208C" w14:textId="77777777" w:rsidR="00AD6512" w:rsidRPr="001B76E1" w:rsidRDefault="00AD6512" w:rsidP="007331BB">
            <w:pPr>
              <w:rPr>
                <w:b/>
              </w:rPr>
            </w:pPr>
            <w:r w:rsidRPr="001B76E1">
              <w:rPr>
                <w:b/>
              </w:rPr>
              <w:t>ARTICLE XXI SECTION(S)</w:t>
            </w:r>
          </w:p>
          <w:p w14:paraId="65B26DE1" w14:textId="77777777" w:rsidR="00AD6512" w:rsidRPr="001B76E1" w:rsidRDefault="00AD6512" w:rsidP="007331BB">
            <w:pPr>
              <w:rPr>
                <w:b/>
              </w:rPr>
            </w:pPr>
          </w:p>
        </w:tc>
        <w:tc>
          <w:tcPr>
            <w:tcW w:w="2578" w:type="dxa"/>
            <w:shd w:val="clear" w:color="auto" w:fill="FFFF00"/>
          </w:tcPr>
          <w:p w14:paraId="092E3479" w14:textId="77777777" w:rsidR="00AD6512" w:rsidRPr="001B76E1" w:rsidRDefault="00AD6512" w:rsidP="007331BB">
            <w:pPr>
              <w:rPr>
                <w:b/>
              </w:rPr>
            </w:pPr>
            <w:r w:rsidRPr="001B76E1">
              <w:rPr>
                <w:b/>
              </w:rPr>
              <w:t xml:space="preserve"> DESCRIPTION OF CHANGE</w:t>
            </w:r>
          </w:p>
        </w:tc>
        <w:tc>
          <w:tcPr>
            <w:tcW w:w="2043" w:type="dxa"/>
            <w:shd w:val="clear" w:color="auto" w:fill="FFFF00"/>
          </w:tcPr>
          <w:p w14:paraId="4C9FB05E" w14:textId="77777777" w:rsidR="00AD6512" w:rsidRPr="001B76E1" w:rsidRDefault="00AD6512" w:rsidP="007331BB">
            <w:pPr>
              <w:rPr>
                <w:b/>
              </w:rPr>
            </w:pPr>
            <w:r w:rsidRPr="001B76E1">
              <w:rPr>
                <w:b/>
              </w:rPr>
              <w:t>REGULATION SUBCOMMITTEE</w:t>
            </w:r>
          </w:p>
        </w:tc>
        <w:tc>
          <w:tcPr>
            <w:tcW w:w="2480" w:type="dxa"/>
            <w:shd w:val="clear" w:color="auto" w:fill="FFFF00"/>
          </w:tcPr>
          <w:p w14:paraId="253DD8A5" w14:textId="77777777" w:rsidR="00AD6512" w:rsidRPr="001B76E1" w:rsidRDefault="00AD6512" w:rsidP="007331BB">
            <w:pPr>
              <w:rPr>
                <w:b/>
              </w:rPr>
            </w:pPr>
            <w:r w:rsidRPr="001B76E1">
              <w:rPr>
                <w:b/>
              </w:rPr>
              <w:t>STATUS / NEXT STEP</w:t>
            </w:r>
          </w:p>
        </w:tc>
        <w:tc>
          <w:tcPr>
            <w:tcW w:w="2663" w:type="dxa"/>
            <w:shd w:val="clear" w:color="auto" w:fill="FFFF00"/>
          </w:tcPr>
          <w:p w14:paraId="50AD0B41" w14:textId="77777777" w:rsidR="00AD6512" w:rsidRPr="001B76E1" w:rsidRDefault="00AD6512" w:rsidP="007331BB">
            <w:pPr>
              <w:rPr>
                <w:b/>
              </w:rPr>
            </w:pPr>
            <w:r w:rsidRPr="001B76E1">
              <w:rPr>
                <w:b/>
              </w:rPr>
              <w:t>STATUS OF CORRESPONDING DEP REGULATION</w:t>
            </w:r>
          </w:p>
        </w:tc>
      </w:tr>
      <w:tr w:rsidR="00775DB7" w:rsidRPr="001B76E1" w14:paraId="4EE8B72C" w14:textId="77777777" w:rsidTr="00A556F8">
        <w:trPr>
          <w:trHeight w:val="359"/>
        </w:trPr>
        <w:tc>
          <w:tcPr>
            <w:tcW w:w="967" w:type="dxa"/>
          </w:tcPr>
          <w:p w14:paraId="238BC5C2" w14:textId="3F5B2F9B" w:rsidR="00DB6E9A" w:rsidRDefault="00DB6E9A" w:rsidP="00F44494">
            <w:bookmarkStart w:id="0" w:name="_GoBack"/>
            <w:bookmarkEnd w:id="0"/>
            <w:r>
              <w:t>(non)</w:t>
            </w:r>
          </w:p>
          <w:p w14:paraId="51348720" w14:textId="6ADFB766" w:rsidR="00775DB7" w:rsidRPr="001B76E1" w:rsidRDefault="00775DB7" w:rsidP="00F44494">
            <w:r>
              <w:t>SIP99</w:t>
            </w:r>
          </w:p>
        </w:tc>
        <w:tc>
          <w:tcPr>
            <w:tcW w:w="2224" w:type="dxa"/>
          </w:tcPr>
          <w:p w14:paraId="6730B076" w14:textId="21D9D0A4" w:rsidR="00775DB7" w:rsidRPr="001B76E1" w:rsidRDefault="00775DB7" w:rsidP="00F44494">
            <w:r w:rsidRPr="001B76E1">
              <w:t>§210</w:t>
            </w:r>
            <w:r>
              <w:t>5.73</w:t>
            </w:r>
            <w:r w:rsidRPr="001B76E1">
              <w:t>, “</w:t>
            </w:r>
            <w:r>
              <w:t>Municipal Solid Waste Landfills</w:t>
            </w:r>
            <w:r w:rsidRPr="001B76E1">
              <w:t>.”</w:t>
            </w:r>
          </w:p>
        </w:tc>
        <w:tc>
          <w:tcPr>
            <w:tcW w:w="2578" w:type="dxa"/>
          </w:tcPr>
          <w:p w14:paraId="51EE96E7" w14:textId="0D5F47DF" w:rsidR="00775DB7" w:rsidRPr="00FF36ED" w:rsidRDefault="00775DB7" w:rsidP="00F44494">
            <w:pPr>
              <w:rPr>
                <w:sz w:val="20"/>
                <w:szCs w:val="20"/>
              </w:rPr>
            </w:pPr>
            <w:r w:rsidRPr="00FF36ED">
              <w:rPr>
                <w:sz w:val="20"/>
                <w:szCs w:val="20"/>
              </w:rPr>
              <w:t xml:space="preserve">Revise </w:t>
            </w:r>
            <w:r w:rsidR="00FF36ED" w:rsidRPr="00FF36ED">
              <w:rPr>
                <w:sz w:val="20"/>
                <w:szCs w:val="20"/>
              </w:rPr>
              <w:t>for</w:t>
            </w:r>
            <w:r w:rsidRPr="00FF36ED">
              <w:rPr>
                <w:sz w:val="20"/>
                <w:szCs w:val="20"/>
              </w:rPr>
              <w:t xml:space="preserve"> possible </w:t>
            </w:r>
            <w:r w:rsidR="00FF36ED" w:rsidRPr="00FF36ED">
              <w:rPr>
                <w:sz w:val="20"/>
                <w:szCs w:val="20"/>
              </w:rPr>
              <w:t xml:space="preserve">ACHD </w:t>
            </w:r>
            <w:r w:rsidRPr="00FF36ED">
              <w:rPr>
                <w:sz w:val="20"/>
                <w:szCs w:val="20"/>
              </w:rPr>
              <w:t>Request for Delegation of Authority of Federal Plan.</w:t>
            </w:r>
          </w:p>
        </w:tc>
        <w:tc>
          <w:tcPr>
            <w:tcW w:w="2043" w:type="dxa"/>
          </w:tcPr>
          <w:p w14:paraId="38F6227F" w14:textId="77777777" w:rsidR="00775DB7" w:rsidRDefault="00775DB7" w:rsidP="00F44494"/>
          <w:p w14:paraId="491FF54F" w14:textId="673009D5" w:rsidR="00775DB7" w:rsidRPr="001B76E1" w:rsidRDefault="00775DB7" w:rsidP="00F44494"/>
        </w:tc>
        <w:tc>
          <w:tcPr>
            <w:tcW w:w="2480" w:type="dxa"/>
          </w:tcPr>
          <w:p w14:paraId="6A12A5EC" w14:textId="4E990C83" w:rsidR="00775DB7" w:rsidRPr="00736756" w:rsidRDefault="00775DB7" w:rsidP="00F44494">
            <w:r>
              <w:t>Preliminary investigation.</w:t>
            </w:r>
          </w:p>
        </w:tc>
        <w:tc>
          <w:tcPr>
            <w:tcW w:w="2663" w:type="dxa"/>
          </w:tcPr>
          <w:p w14:paraId="687440D9" w14:textId="14CD3F15" w:rsidR="00775DB7" w:rsidRDefault="00282F04" w:rsidP="00F44494">
            <w:r>
              <w:t>DEP held p</w:t>
            </w:r>
            <w:r w:rsidR="00FF36ED">
              <w:t>ublic hearing on January 6, 2022</w:t>
            </w:r>
            <w:r w:rsidR="00CC3DC2">
              <w:t xml:space="preserve"> for their Request for Delegation</w:t>
            </w:r>
            <w:r w:rsidR="00FF36ED">
              <w:t>.</w:t>
            </w:r>
          </w:p>
        </w:tc>
      </w:tr>
      <w:tr w:rsidR="00F44494" w:rsidRPr="001B76E1" w14:paraId="0EE71F27" w14:textId="77777777" w:rsidTr="00A556F8">
        <w:trPr>
          <w:trHeight w:val="359"/>
        </w:trPr>
        <w:tc>
          <w:tcPr>
            <w:tcW w:w="967" w:type="dxa"/>
          </w:tcPr>
          <w:p w14:paraId="1CCE466B" w14:textId="0DCDE455" w:rsidR="00F44494" w:rsidRPr="001B76E1" w:rsidRDefault="00F44494" w:rsidP="00F44494">
            <w:r w:rsidRPr="001B76E1">
              <w:t>SIP98</w:t>
            </w:r>
          </w:p>
        </w:tc>
        <w:tc>
          <w:tcPr>
            <w:tcW w:w="2224" w:type="dxa"/>
          </w:tcPr>
          <w:p w14:paraId="30703690" w14:textId="4387B791" w:rsidR="00F44494" w:rsidRPr="001B76E1" w:rsidRDefault="00F44494" w:rsidP="00F44494">
            <w:r w:rsidRPr="001B76E1">
              <w:t>TBD</w:t>
            </w:r>
          </w:p>
        </w:tc>
        <w:tc>
          <w:tcPr>
            <w:tcW w:w="2578" w:type="dxa"/>
          </w:tcPr>
          <w:p w14:paraId="5BE9F4EC" w14:textId="5E3BC760" w:rsidR="00F44494" w:rsidRPr="001B76E1" w:rsidRDefault="00F44494" w:rsidP="00F44494">
            <w:r w:rsidRPr="001B76E1">
              <w:t>RACT III regulations</w:t>
            </w:r>
          </w:p>
        </w:tc>
        <w:tc>
          <w:tcPr>
            <w:tcW w:w="2043" w:type="dxa"/>
          </w:tcPr>
          <w:p w14:paraId="3965EDEE" w14:textId="7BCAA157" w:rsidR="00F44494" w:rsidRPr="001B76E1" w:rsidRDefault="00F44494" w:rsidP="00F44494">
            <w:r w:rsidRPr="001B76E1">
              <w:t>Awaiting draft.</w:t>
            </w:r>
          </w:p>
        </w:tc>
        <w:tc>
          <w:tcPr>
            <w:tcW w:w="2480" w:type="dxa"/>
          </w:tcPr>
          <w:p w14:paraId="1665A864" w14:textId="60A3BD53" w:rsidR="00F44494" w:rsidRPr="00736756" w:rsidRDefault="00F44494" w:rsidP="00F44494">
            <w:r w:rsidRPr="00736756">
              <w:t xml:space="preserve">ACHD </w:t>
            </w:r>
            <w:r w:rsidR="00014332" w:rsidRPr="00736756">
              <w:t>to develop from DEP Regs.</w:t>
            </w:r>
          </w:p>
        </w:tc>
        <w:tc>
          <w:tcPr>
            <w:tcW w:w="2663" w:type="dxa"/>
          </w:tcPr>
          <w:p w14:paraId="54F9D181" w14:textId="683D7F7B" w:rsidR="00F44494" w:rsidRPr="00D81B46" w:rsidRDefault="00BE3F09" w:rsidP="00F44494">
            <w:r>
              <w:t>DEP public comment period ended</w:t>
            </w:r>
            <w:r w:rsidR="0038207D">
              <w:t xml:space="preserve"> October 12, 2021.</w:t>
            </w:r>
            <w:r w:rsidR="00ED10C8">
              <w:t xml:space="preserve"> EPA commented.</w:t>
            </w:r>
          </w:p>
        </w:tc>
      </w:tr>
      <w:tr w:rsidR="00AD6512" w:rsidRPr="001B76E1" w14:paraId="402D6B6D" w14:textId="77777777" w:rsidTr="00A556F8">
        <w:trPr>
          <w:trHeight w:val="773"/>
        </w:trPr>
        <w:tc>
          <w:tcPr>
            <w:tcW w:w="967" w:type="dxa"/>
          </w:tcPr>
          <w:p w14:paraId="12BE11CA" w14:textId="77777777" w:rsidR="00AD6512" w:rsidRPr="001B76E1" w:rsidRDefault="00AD6512" w:rsidP="005743CB"/>
          <w:p w14:paraId="20BD293C" w14:textId="77777777" w:rsidR="00AD6512" w:rsidRPr="001B76E1" w:rsidRDefault="00AD6512" w:rsidP="005743CB"/>
          <w:p w14:paraId="13E394C7" w14:textId="77777777" w:rsidR="00AD6512" w:rsidRPr="001B76E1" w:rsidRDefault="00AD6512" w:rsidP="005743CB">
            <w:r w:rsidRPr="001B76E1">
              <w:t>SIP80</w:t>
            </w:r>
          </w:p>
        </w:tc>
        <w:tc>
          <w:tcPr>
            <w:tcW w:w="2224" w:type="dxa"/>
          </w:tcPr>
          <w:p w14:paraId="1CCF4FB1" w14:textId="77777777" w:rsidR="00AD6512" w:rsidRPr="001B76E1" w:rsidRDefault="00AD6512" w:rsidP="005743CB"/>
          <w:p w14:paraId="5830F205" w14:textId="77777777" w:rsidR="00AD6512" w:rsidRPr="001B76E1" w:rsidRDefault="00AD6512" w:rsidP="005743CB">
            <w:r w:rsidRPr="001B76E1">
              <w:t>§2108.01.e, “Reporting Requirements.”</w:t>
            </w:r>
          </w:p>
        </w:tc>
        <w:tc>
          <w:tcPr>
            <w:tcW w:w="2578" w:type="dxa"/>
          </w:tcPr>
          <w:p w14:paraId="68C196E9" w14:textId="4DD09056" w:rsidR="00AD6512" w:rsidRPr="001B76E1" w:rsidRDefault="00AD6512" w:rsidP="005743CB">
            <w:r w:rsidRPr="001B76E1">
              <w:t xml:space="preserve">Correct </w:t>
            </w:r>
            <w:r w:rsidR="0021217C">
              <w:t>‘</w:t>
            </w:r>
            <w:r w:rsidRPr="001B76E1">
              <w:t>Emissions Inventory Statements</w:t>
            </w:r>
            <w:r w:rsidR="0021217C">
              <w:t>’</w:t>
            </w:r>
            <w:r w:rsidRPr="001B76E1">
              <w:t xml:space="preserve"> waiver language and modify some additional </w:t>
            </w:r>
            <w:r w:rsidR="0021217C">
              <w:t>r</w:t>
            </w:r>
            <w:r w:rsidRPr="001B76E1">
              <w:t>eporting Requirements</w:t>
            </w:r>
          </w:p>
        </w:tc>
        <w:tc>
          <w:tcPr>
            <w:tcW w:w="2043" w:type="dxa"/>
          </w:tcPr>
          <w:p w14:paraId="2B0041AF" w14:textId="77777777" w:rsidR="00AD6512" w:rsidRPr="001B76E1" w:rsidRDefault="00AD6512" w:rsidP="005743CB">
            <w:r w:rsidRPr="001B76E1">
              <w:t>Awaiting draft.</w:t>
            </w:r>
          </w:p>
        </w:tc>
        <w:tc>
          <w:tcPr>
            <w:tcW w:w="2480" w:type="dxa"/>
          </w:tcPr>
          <w:p w14:paraId="32C198B0" w14:textId="0F42223E" w:rsidR="00AD6512" w:rsidRPr="001B76E1" w:rsidRDefault="00AD6512" w:rsidP="005743CB">
            <w:r w:rsidRPr="001B76E1">
              <w:t>ACHD to develop correction to SIP80 and revise other reporting req’s.</w:t>
            </w:r>
            <w:r w:rsidR="005C5ECB">
              <w:t xml:space="preserve"> </w:t>
            </w:r>
            <w:r w:rsidR="003B10BA">
              <w:t>Possibly</w:t>
            </w:r>
            <w:r w:rsidR="005C5ECB" w:rsidRPr="00736756">
              <w:t xml:space="preserve"> two packages.</w:t>
            </w:r>
          </w:p>
        </w:tc>
        <w:tc>
          <w:tcPr>
            <w:tcW w:w="2663" w:type="dxa"/>
          </w:tcPr>
          <w:p w14:paraId="480B627E" w14:textId="77777777" w:rsidR="00AD6512" w:rsidRPr="001B76E1" w:rsidRDefault="00AD6512" w:rsidP="005743CB"/>
          <w:p w14:paraId="77CE4B58" w14:textId="59FFFDE5" w:rsidR="00AD6512" w:rsidRPr="001B76E1" w:rsidRDefault="00E43356" w:rsidP="005743CB">
            <w:r>
              <w:t>na</w:t>
            </w:r>
          </w:p>
        </w:tc>
      </w:tr>
      <w:tr w:rsidR="00055D86" w:rsidRPr="001B76E1" w14:paraId="7D8F8630" w14:textId="77777777" w:rsidTr="00A556F8">
        <w:trPr>
          <w:trHeight w:val="773"/>
        </w:trPr>
        <w:tc>
          <w:tcPr>
            <w:tcW w:w="967" w:type="dxa"/>
          </w:tcPr>
          <w:p w14:paraId="79100B41" w14:textId="77777777" w:rsidR="00803994" w:rsidRDefault="00803994" w:rsidP="00055D86">
            <w:pPr>
              <w:ind w:left="1080" w:hanging="1080"/>
              <w:rPr>
                <w:rFonts w:eastAsia="Times New Roman" w:cstheme="minorHAnsi"/>
              </w:rPr>
            </w:pPr>
          </w:p>
          <w:p w14:paraId="443F5740" w14:textId="3387BAA5" w:rsidR="00055D86" w:rsidRPr="001B76E1" w:rsidRDefault="00055D86" w:rsidP="00055D86">
            <w:pPr>
              <w:ind w:left="1080" w:hanging="1080"/>
              <w:rPr>
                <w:rFonts w:eastAsia="Times New Roman" w:cstheme="minorHAnsi"/>
              </w:rPr>
            </w:pPr>
            <w:r w:rsidRPr="001B76E1">
              <w:rPr>
                <w:rFonts w:eastAsia="Times New Roman" w:cstheme="minorHAnsi"/>
              </w:rPr>
              <w:t>SIP94</w:t>
            </w:r>
          </w:p>
        </w:tc>
        <w:tc>
          <w:tcPr>
            <w:tcW w:w="2224" w:type="dxa"/>
          </w:tcPr>
          <w:p w14:paraId="6A40719C" w14:textId="77777777" w:rsidR="00803994" w:rsidRDefault="00803994" w:rsidP="00055D86">
            <w:pPr>
              <w:ind w:left="1080" w:hanging="1080"/>
              <w:rPr>
                <w:rFonts w:eastAsia="Times New Roman" w:cstheme="minorHAnsi"/>
              </w:rPr>
            </w:pPr>
          </w:p>
          <w:p w14:paraId="4D030AE4" w14:textId="778CA91B" w:rsidR="00055D86" w:rsidRPr="001B76E1" w:rsidRDefault="00055D86" w:rsidP="00055D86">
            <w:pPr>
              <w:ind w:left="1080" w:hanging="1080"/>
              <w:rPr>
                <w:rFonts w:eastAsia="Times New Roman" w:cstheme="minorHAnsi"/>
              </w:rPr>
            </w:pPr>
            <w:r w:rsidRPr="001B76E1">
              <w:rPr>
                <w:rFonts w:eastAsia="Times New Roman" w:cstheme="minorHAnsi"/>
              </w:rPr>
              <w:t>§2105.87</w:t>
            </w:r>
          </w:p>
          <w:p w14:paraId="08C5A21A" w14:textId="77777777" w:rsidR="00055D86" w:rsidRPr="001B76E1" w:rsidRDefault="00055D86" w:rsidP="00055D86">
            <w:pPr>
              <w:ind w:left="68" w:hanging="22"/>
            </w:pPr>
            <w:r w:rsidRPr="001B76E1">
              <w:rPr>
                <w:rFonts w:eastAsia="Times New Roman" w:cstheme="minorHAnsi"/>
              </w:rPr>
              <w:t>Control of VOC Emissions from the Oil and/or Natural Gas Industry</w:t>
            </w:r>
          </w:p>
        </w:tc>
        <w:tc>
          <w:tcPr>
            <w:tcW w:w="2578" w:type="dxa"/>
          </w:tcPr>
          <w:p w14:paraId="20E867AF" w14:textId="1D4F1DBD" w:rsidR="00055D86" w:rsidRPr="001B76E1" w:rsidRDefault="0021217C" w:rsidP="00055D86">
            <w:r>
              <w:t>Address</w:t>
            </w:r>
            <w:r w:rsidR="00055D86" w:rsidRPr="001B76E1">
              <w:t xml:space="preserve"> the requirements of the </w:t>
            </w:r>
            <w:r>
              <w:t xml:space="preserve">2016 </w:t>
            </w:r>
            <w:r w:rsidR="00055D86" w:rsidRPr="001B76E1">
              <w:t xml:space="preserve">EPA CTG. </w:t>
            </w:r>
            <w:r>
              <w:t xml:space="preserve">ACHD is ‘incorporating by reference’ the DEP reg. </w:t>
            </w:r>
            <w:r w:rsidR="00055D86" w:rsidRPr="001B76E1">
              <w:t>Consider any changes DEP makes in their draft.</w:t>
            </w:r>
          </w:p>
        </w:tc>
        <w:tc>
          <w:tcPr>
            <w:tcW w:w="2043" w:type="dxa"/>
          </w:tcPr>
          <w:p w14:paraId="282D4242" w14:textId="77777777" w:rsidR="00823F02" w:rsidRDefault="00823F02" w:rsidP="00055D86">
            <w:pPr>
              <w:rPr>
                <w:highlight w:val="yellow"/>
              </w:rPr>
            </w:pPr>
          </w:p>
          <w:p w14:paraId="0600F893" w14:textId="71ECE580" w:rsidR="00055D86" w:rsidRPr="001B76E1" w:rsidRDefault="00ED10C8" w:rsidP="00055D86">
            <w:r w:rsidRPr="00ED10C8">
              <w:rPr>
                <w:highlight w:val="yellow"/>
              </w:rPr>
              <w:t xml:space="preserve">Review </w:t>
            </w:r>
            <w:r>
              <w:rPr>
                <w:highlight w:val="yellow"/>
              </w:rPr>
              <w:t xml:space="preserve">final </w:t>
            </w:r>
            <w:r w:rsidRPr="00ED10C8">
              <w:rPr>
                <w:highlight w:val="yellow"/>
              </w:rPr>
              <w:t>draft at January 18, 2022 meeting.</w:t>
            </w:r>
          </w:p>
        </w:tc>
        <w:tc>
          <w:tcPr>
            <w:tcW w:w="2480" w:type="dxa"/>
          </w:tcPr>
          <w:p w14:paraId="0255C5EB" w14:textId="77777777" w:rsidR="00823F02" w:rsidRDefault="00823F02" w:rsidP="00055D86"/>
          <w:p w14:paraId="1598E406" w14:textId="4EDC9BDE" w:rsidR="00055D86" w:rsidRPr="001B76E1" w:rsidRDefault="00823F02" w:rsidP="00055D86">
            <w:r w:rsidRPr="00695B2F">
              <w:rPr>
                <w:highlight w:val="yellow"/>
              </w:rPr>
              <w:t>Take to Advisory Comm then to BOH for approval to go to public comment.</w:t>
            </w:r>
          </w:p>
        </w:tc>
        <w:tc>
          <w:tcPr>
            <w:tcW w:w="2663" w:type="dxa"/>
          </w:tcPr>
          <w:p w14:paraId="31D694A4" w14:textId="0CD3EF7B" w:rsidR="00214573" w:rsidRDefault="0021217C" w:rsidP="00055D86">
            <w:r w:rsidRPr="00ED10C8">
              <w:rPr>
                <w:highlight w:val="yellow"/>
              </w:rPr>
              <w:t xml:space="preserve">DEP </w:t>
            </w:r>
            <w:r w:rsidR="00ED10C8" w:rsidRPr="00ED10C8">
              <w:rPr>
                <w:highlight w:val="yellow"/>
              </w:rPr>
              <w:t xml:space="preserve">presented </w:t>
            </w:r>
            <w:r w:rsidRPr="00ED10C8">
              <w:rPr>
                <w:highlight w:val="yellow"/>
              </w:rPr>
              <w:t xml:space="preserve">final form rulemaking </w:t>
            </w:r>
            <w:r w:rsidR="00ED10C8" w:rsidRPr="00ED10C8">
              <w:rPr>
                <w:highlight w:val="yellow"/>
              </w:rPr>
              <w:t>to AQTAC December 9.  Tak</w:t>
            </w:r>
            <w:r w:rsidR="00823F02">
              <w:rPr>
                <w:highlight w:val="yellow"/>
              </w:rPr>
              <w:t>ing</w:t>
            </w:r>
            <w:r w:rsidR="00ED10C8" w:rsidRPr="00ED10C8">
              <w:rPr>
                <w:highlight w:val="yellow"/>
              </w:rPr>
              <w:t xml:space="preserve"> to EQB</w:t>
            </w:r>
            <w:r w:rsidRPr="00ED10C8">
              <w:rPr>
                <w:highlight w:val="yellow"/>
              </w:rPr>
              <w:t xml:space="preserve"> 1</w:t>
            </w:r>
            <w:r w:rsidRPr="00ED10C8">
              <w:rPr>
                <w:highlight w:val="yellow"/>
                <w:vertAlign w:val="superscript"/>
              </w:rPr>
              <w:t>st</w:t>
            </w:r>
            <w:r w:rsidRPr="00ED10C8">
              <w:rPr>
                <w:highlight w:val="yellow"/>
              </w:rPr>
              <w:t xml:space="preserve"> Qtr</w:t>
            </w:r>
            <w:r w:rsidR="004D7173">
              <w:rPr>
                <w:highlight w:val="yellow"/>
              </w:rPr>
              <w:t>.</w:t>
            </w:r>
            <w:r w:rsidRPr="00ED10C8">
              <w:rPr>
                <w:highlight w:val="yellow"/>
              </w:rPr>
              <w:t xml:space="preserve"> 2022</w:t>
            </w:r>
            <w:r>
              <w:t>.</w:t>
            </w:r>
            <w:r w:rsidR="00214573">
              <w:t xml:space="preserve"> If no SIP, then</w:t>
            </w:r>
            <w:r w:rsidR="00823F02">
              <w:t xml:space="preserve"> o</w:t>
            </w:r>
            <w:r w:rsidR="00214573">
              <w:t>ffsets June,2022.</w:t>
            </w:r>
          </w:p>
          <w:p w14:paraId="665C49FE" w14:textId="28C2EFC2" w:rsidR="00214573" w:rsidRPr="001B76E1" w:rsidRDefault="00214573" w:rsidP="00055D86">
            <w:r>
              <w:t>Highway sanctions &amp; FIP Dec,2022.</w:t>
            </w:r>
          </w:p>
        </w:tc>
      </w:tr>
      <w:tr w:rsidR="00A556F8" w:rsidRPr="001B76E1" w14:paraId="6FB016FF" w14:textId="77777777" w:rsidTr="00A556F8">
        <w:trPr>
          <w:trHeight w:val="773"/>
        </w:trPr>
        <w:tc>
          <w:tcPr>
            <w:tcW w:w="967" w:type="dxa"/>
          </w:tcPr>
          <w:p w14:paraId="5CA651E7" w14:textId="77777777" w:rsidR="00695B2F" w:rsidRDefault="00695B2F" w:rsidP="00A556F8">
            <w:pPr>
              <w:ind w:left="1080" w:hanging="1080"/>
            </w:pPr>
          </w:p>
          <w:p w14:paraId="32A7AA60" w14:textId="5B1F5901" w:rsidR="00A556F8" w:rsidRPr="001B76E1" w:rsidRDefault="00A556F8" w:rsidP="00A556F8">
            <w:pPr>
              <w:ind w:left="1080" w:hanging="1080"/>
              <w:rPr>
                <w:rFonts w:eastAsia="Times New Roman" w:cstheme="minorHAnsi"/>
              </w:rPr>
            </w:pPr>
            <w:r w:rsidRPr="00055D86">
              <w:t>SIP84C</w:t>
            </w:r>
          </w:p>
        </w:tc>
        <w:tc>
          <w:tcPr>
            <w:tcW w:w="2224" w:type="dxa"/>
          </w:tcPr>
          <w:p w14:paraId="0306A384" w14:textId="77777777" w:rsidR="00695B2F" w:rsidRDefault="00695B2F" w:rsidP="00A556F8">
            <w:pPr>
              <w:ind w:left="1080" w:hanging="1080"/>
            </w:pPr>
          </w:p>
          <w:p w14:paraId="653FFA24" w14:textId="73A10340" w:rsidR="00A556F8" w:rsidRPr="001B76E1" w:rsidRDefault="00A556F8" w:rsidP="00A556F8">
            <w:pPr>
              <w:ind w:left="1080" w:hanging="1080"/>
              <w:rPr>
                <w:rFonts w:eastAsia="Times New Roman" w:cstheme="minorHAnsi"/>
              </w:rPr>
            </w:pPr>
            <w:r w:rsidRPr="00055D86">
              <w:t>Non-regulatory</w:t>
            </w:r>
          </w:p>
        </w:tc>
        <w:tc>
          <w:tcPr>
            <w:tcW w:w="2578" w:type="dxa"/>
          </w:tcPr>
          <w:p w14:paraId="2D45A5CA" w14:textId="77777777" w:rsidR="00695B2F" w:rsidRDefault="00695B2F" w:rsidP="00A556F8"/>
          <w:p w14:paraId="626C2C0A" w14:textId="30BBBCC5" w:rsidR="00A556F8" w:rsidRDefault="00A556F8" w:rsidP="00A556F8">
            <w:r w:rsidRPr="00055D86">
              <w:t>Case-by-Case RACT II SIP</w:t>
            </w:r>
          </w:p>
        </w:tc>
        <w:tc>
          <w:tcPr>
            <w:tcW w:w="2043" w:type="dxa"/>
          </w:tcPr>
          <w:p w14:paraId="707D5C06" w14:textId="77777777" w:rsidR="00695B2F" w:rsidRDefault="00695B2F" w:rsidP="00A556F8"/>
          <w:p w14:paraId="6AE26A3A" w14:textId="63F60727" w:rsidR="00A556F8" w:rsidRDefault="00A556F8" w:rsidP="00A556F8">
            <w:pPr>
              <w:rPr>
                <w:highlight w:val="yellow"/>
              </w:rPr>
            </w:pPr>
            <w:r w:rsidRPr="00055D86">
              <w:t>Not involved.</w:t>
            </w:r>
          </w:p>
        </w:tc>
        <w:tc>
          <w:tcPr>
            <w:tcW w:w="2480" w:type="dxa"/>
          </w:tcPr>
          <w:p w14:paraId="637B3618" w14:textId="77777777" w:rsidR="00695B2F" w:rsidRDefault="00695B2F" w:rsidP="00A556F8">
            <w:pPr>
              <w:rPr>
                <w:highlight w:val="yellow"/>
              </w:rPr>
            </w:pPr>
          </w:p>
          <w:p w14:paraId="0B1210CF" w14:textId="1658B096" w:rsidR="00A556F8" w:rsidRDefault="00A556F8" w:rsidP="00A556F8">
            <w:r w:rsidRPr="000D3C9D">
              <w:rPr>
                <w:highlight w:val="yellow"/>
              </w:rPr>
              <w:t>Revised Cheswick permit RACT Plan in public comment until January 11, 2022.</w:t>
            </w:r>
            <w:r>
              <w:t xml:space="preserve"> </w:t>
            </w:r>
          </w:p>
        </w:tc>
        <w:tc>
          <w:tcPr>
            <w:tcW w:w="2663" w:type="dxa"/>
          </w:tcPr>
          <w:p w14:paraId="02912C2F" w14:textId="77777777" w:rsidR="00695B2F" w:rsidRDefault="00695B2F" w:rsidP="00A556F8"/>
          <w:p w14:paraId="4F1B91AA" w14:textId="144051DC" w:rsidR="00A556F8" w:rsidRPr="00ED10C8" w:rsidRDefault="00A556F8" w:rsidP="00A556F8">
            <w:pPr>
              <w:rPr>
                <w:highlight w:val="yellow"/>
              </w:rPr>
            </w:pPr>
            <w:r>
              <w:t>DEP submitting revised case by case RACT Plans for certain EGUs.</w:t>
            </w:r>
          </w:p>
        </w:tc>
      </w:tr>
      <w:tr w:rsidR="00A556F8" w:rsidRPr="001B76E1" w14:paraId="42F7B31D" w14:textId="77777777" w:rsidTr="00A556F8">
        <w:trPr>
          <w:trHeight w:val="773"/>
        </w:trPr>
        <w:tc>
          <w:tcPr>
            <w:tcW w:w="967" w:type="dxa"/>
          </w:tcPr>
          <w:p w14:paraId="75E130F0" w14:textId="77777777" w:rsidR="00695B2F" w:rsidRDefault="00695B2F" w:rsidP="00A556F8">
            <w:pPr>
              <w:ind w:left="1080" w:hanging="1080"/>
            </w:pPr>
          </w:p>
          <w:p w14:paraId="14C4C2E0" w14:textId="51A9B067" w:rsidR="00A556F8" w:rsidRPr="001B76E1" w:rsidRDefault="00A556F8" w:rsidP="00A556F8">
            <w:pPr>
              <w:ind w:left="1080" w:hanging="1080"/>
              <w:rPr>
                <w:rFonts w:eastAsia="Times New Roman" w:cstheme="minorHAnsi"/>
              </w:rPr>
            </w:pPr>
            <w:r w:rsidRPr="001B76E1">
              <w:t>SIP84</w:t>
            </w:r>
            <w:r>
              <w:t>D</w:t>
            </w:r>
          </w:p>
        </w:tc>
        <w:tc>
          <w:tcPr>
            <w:tcW w:w="2224" w:type="dxa"/>
          </w:tcPr>
          <w:p w14:paraId="278FC5F3" w14:textId="77777777" w:rsidR="00695B2F" w:rsidRDefault="00695B2F" w:rsidP="00A556F8">
            <w:pPr>
              <w:ind w:left="1080" w:hanging="1080"/>
            </w:pPr>
          </w:p>
          <w:p w14:paraId="5B74DAA6" w14:textId="42508F21" w:rsidR="00A556F8" w:rsidRPr="001B76E1" w:rsidRDefault="00A556F8" w:rsidP="00A556F8">
            <w:pPr>
              <w:ind w:left="1080" w:hanging="1080"/>
              <w:rPr>
                <w:rFonts w:eastAsia="Times New Roman" w:cstheme="minorHAnsi"/>
              </w:rPr>
            </w:pPr>
            <w:r w:rsidRPr="001B76E1">
              <w:t>Non-regulatory</w:t>
            </w:r>
          </w:p>
        </w:tc>
        <w:tc>
          <w:tcPr>
            <w:tcW w:w="2578" w:type="dxa"/>
          </w:tcPr>
          <w:p w14:paraId="60C36041" w14:textId="77777777" w:rsidR="00695B2F" w:rsidRDefault="00695B2F" w:rsidP="00A556F8"/>
          <w:p w14:paraId="2CF4F2E4" w14:textId="2B832230" w:rsidR="00A556F8" w:rsidRDefault="00A556F8" w:rsidP="00A556F8">
            <w:r>
              <w:t xml:space="preserve">Non-CTG VOC and Major NOx </w:t>
            </w:r>
            <w:r w:rsidRPr="001B76E1">
              <w:t>RACT</w:t>
            </w:r>
          </w:p>
        </w:tc>
        <w:tc>
          <w:tcPr>
            <w:tcW w:w="2043" w:type="dxa"/>
          </w:tcPr>
          <w:p w14:paraId="4C16CD79" w14:textId="6FA779FC" w:rsidR="00A556F8" w:rsidRDefault="00A556F8" w:rsidP="00D426B9">
            <w:pPr>
              <w:rPr>
                <w:highlight w:val="yellow"/>
              </w:rPr>
            </w:pPr>
            <w:r>
              <w:t xml:space="preserve">No regulation is </w:t>
            </w:r>
            <w:r w:rsidRPr="001B76E1">
              <w:t>involved</w:t>
            </w:r>
            <w:r w:rsidR="00D426B9">
              <w:t>, so the</w:t>
            </w:r>
            <w:r>
              <w:t xml:space="preserve"> Criteria Subcomm</w:t>
            </w:r>
            <w:r w:rsidR="00D426B9">
              <w:t xml:space="preserve"> </w:t>
            </w:r>
            <w:r w:rsidR="00FF36ED">
              <w:t>r</w:t>
            </w:r>
            <w:r>
              <w:t>eviewed</w:t>
            </w:r>
            <w:r w:rsidR="00FF36ED">
              <w:t xml:space="preserve">. </w:t>
            </w:r>
            <w:r w:rsidR="00FF36ED" w:rsidRPr="00D53361">
              <w:t xml:space="preserve"> </w:t>
            </w:r>
            <w:r w:rsidR="00FF36ED" w:rsidRPr="00D53361">
              <w:t xml:space="preserve">Public </w:t>
            </w:r>
            <w:r w:rsidR="00FF36ED">
              <w:t>c</w:t>
            </w:r>
            <w:r w:rsidR="00FF36ED" w:rsidRPr="00D53361">
              <w:t>omment</w:t>
            </w:r>
            <w:r w:rsidR="00FF36ED">
              <w:t xml:space="preserve"> </w:t>
            </w:r>
            <w:r w:rsidR="00FF36ED" w:rsidRPr="00D53361">
              <w:t>ended Oct 8, 2020.</w:t>
            </w:r>
          </w:p>
        </w:tc>
        <w:tc>
          <w:tcPr>
            <w:tcW w:w="2480" w:type="dxa"/>
          </w:tcPr>
          <w:p w14:paraId="13F80921" w14:textId="77777777" w:rsidR="00695B2F" w:rsidRDefault="00695B2F" w:rsidP="00695B2F"/>
          <w:p w14:paraId="21D58116" w14:textId="5506DEEE" w:rsidR="00A556F8" w:rsidRDefault="00A556F8" w:rsidP="00695B2F">
            <w:r w:rsidRPr="00FF36ED">
              <w:t>Submitt</w:t>
            </w:r>
            <w:r w:rsidR="00CC3DC2">
              <w:t>ed</w:t>
            </w:r>
            <w:r w:rsidRPr="00FF36ED">
              <w:t xml:space="preserve"> to EPA</w:t>
            </w:r>
            <w:r w:rsidR="00FF36ED" w:rsidRPr="00FF36ED">
              <w:t xml:space="preserve">. </w:t>
            </w:r>
            <w:r w:rsidR="00FF36ED" w:rsidRPr="00CC3DC2">
              <w:rPr>
                <w:highlight w:val="yellow"/>
              </w:rPr>
              <w:t>But,</w:t>
            </w:r>
            <w:r w:rsidRPr="00FF36ED">
              <w:t xml:space="preserve"> </w:t>
            </w:r>
            <w:r w:rsidRPr="00695B2F">
              <w:rPr>
                <w:highlight w:val="yellow"/>
              </w:rPr>
              <w:t>on hold for Cheswick revised permit/RACT Plan</w:t>
            </w:r>
            <w:r>
              <w:t xml:space="preserve"> </w:t>
            </w:r>
            <w:r w:rsidRPr="00CC3DC2">
              <w:rPr>
                <w:highlight w:val="yellow"/>
              </w:rPr>
              <w:t>to meet court objections.</w:t>
            </w:r>
            <w:r w:rsidRPr="00111B4E">
              <w:t xml:space="preserve"> </w:t>
            </w:r>
            <w:r w:rsidR="00695B2F">
              <w:t>See above.</w:t>
            </w:r>
          </w:p>
        </w:tc>
        <w:tc>
          <w:tcPr>
            <w:tcW w:w="2663" w:type="dxa"/>
          </w:tcPr>
          <w:p w14:paraId="08E97449" w14:textId="77777777" w:rsidR="00A556F8" w:rsidRDefault="00A556F8" w:rsidP="00A556F8"/>
          <w:p w14:paraId="16C5F293" w14:textId="7F1ECB37" w:rsidR="00A556F8" w:rsidRPr="00ED10C8" w:rsidRDefault="00A556F8" w:rsidP="00A556F8">
            <w:pPr>
              <w:rPr>
                <w:highlight w:val="yellow"/>
              </w:rPr>
            </w:pPr>
            <w:r>
              <w:t>DEP moving ahead with revising RACT Plans for certain EGUs.</w:t>
            </w:r>
          </w:p>
        </w:tc>
      </w:tr>
    </w:tbl>
    <w:p w14:paraId="5E18DAF8" w14:textId="77777777" w:rsidR="00873664" w:rsidRDefault="00873664"/>
    <w:tbl>
      <w:tblPr>
        <w:tblStyle w:val="TableGrid"/>
        <w:tblpPr w:leftFromText="180" w:rightFromText="180" w:horzAnchor="margin" w:tblpY="543"/>
        <w:tblW w:w="12955" w:type="dxa"/>
        <w:tblLook w:val="04A0" w:firstRow="1" w:lastRow="0" w:firstColumn="1" w:lastColumn="0" w:noHBand="0" w:noVBand="1"/>
      </w:tblPr>
      <w:tblGrid>
        <w:gridCol w:w="967"/>
        <w:gridCol w:w="2194"/>
        <w:gridCol w:w="2587"/>
        <w:gridCol w:w="2046"/>
        <w:gridCol w:w="2491"/>
        <w:gridCol w:w="2670"/>
      </w:tblGrid>
      <w:tr w:rsidR="00055D86" w:rsidRPr="001B76E1" w14:paraId="6449369A" w14:textId="77777777" w:rsidTr="00873664">
        <w:trPr>
          <w:trHeight w:val="773"/>
        </w:trPr>
        <w:tc>
          <w:tcPr>
            <w:tcW w:w="967" w:type="dxa"/>
            <w:shd w:val="clear" w:color="auto" w:fill="FFFF00"/>
          </w:tcPr>
          <w:p w14:paraId="525C3F4B" w14:textId="04DB3C9F" w:rsidR="00055D86" w:rsidRPr="001B76E1" w:rsidRDefault="00055D86" w:rsidP="00055D86">
            <w:pPr>
              <w:rPr>
                <w:b/>
              </w:rPr>
            </w:pPr>
            <w:r w:rsidRPr="001B76E1">
              <w:rPr>
                <w:b/>
              </w:rPr>
              <w:t>SIP FILE #</w:t>
            </w:r>
          </w:p>
        </w:tc>
        <w:tc>
          <w:tcPr>
            <w:tcW w:w="2194" w:type="dxa"/>
            <w:shd w:val="clear" w:color="auto" w:fill="FFFF00"/>
          </w:tcPr>
          <w:p w14:paraId="37F50AA5" w14:textId="77777777" w:rsidR="00055D86" w:rsidRPr="001B76E1" w:rsidRDefault="00055D86" w:rsidP="00055D86">
            <w:pPr>
              <w:rPr>
                <w:b/>
              </w:rPr>
            </w:pPr>
            <w:r w:rsidRPr="001B76E1">
              <w:rPr>
                <w:b/>
              </w:rPr>
              <w:t>ARTICLE XXI SECTION(S)</w:t>
            </w:r>
          </w:p>
          <w:p w14:paraId="4EA63315" w14:textId="77777777" w:rsidR="00055D86" w:rsidRPr="001B76E1" w:rsidRDefault="00055D86" w:rsidP="00055D86">
            <w:pPr>
              <w:rPr>
                <w:b/>
              </w:rPr>
            </w:pPr>
          </w:p>
        </w:tc>
        <w:tc>
          <w:tcPr>
            <w:tcW w:w="2587" w:type="dxa"/>
            <w:shd w:val="clear" w:color="auto" w:fill="FFFF00"/>
          </w:tcPr>
          <w:p w14:paraId="59028FFC" w14:textId="77777777" w:rsidR="00055D86" w:rsidRPr="001B76E1" w:rsidRDefault="00055D86" w:rsidP="00055D86">
            <w:pPr>
              <w:rPr>
                <w:b/>
              </w:rPr>
            </w:pPr>
            <w:r w:rsidRPr="001B76E1">
              <w:rPr>
                <w:b/>
              </w:rPr>
              <w:t xml:space="preserve"> DESCRIPTION OF CHANGE</w:t>
            </w:r>
          </w:p>
        </w:tc>
        <w:tc>
          <w:tcPr>
            <w:tcW w:w="2046" w:type="dxa"/>
            <w:shd w:val="clear" w:color="auto" w:fill="FFFF00"/>
          </w:tcPr>
          <w:p w14:paraId="525A8AD7" w14:textId="77777777" w:rsidR="00055D86" w:rsidRPr="001B76E1" w:rsidRDefault="00055D86" w:rsidP="00055D86">
            <w:pPr>
              <w:rPr>
                <w:b/>
              </w:rPr>
            </w:pPr>
            <w:r w:rsidRPr="001B76E1">
              <w:rPr>
                <w:b/>
              </w:rPr>
              <w:t>REGULATION SUBCOMMITTEE</w:t>
            </w:r>
          </w:p>
        </w:tc>
        <w:tc>
          <w:tcPr>
            <w:tcW w:w="2491" w:type="dxa"/>
            <w:shd w:val="clear" w:color="auto" w:fill="FFFF00"/>
          </w:tcPr>
          <w:p w14:paraId="768D4134" w14:textId="77777777" w:rsidR="00055D86" w:rsidRPr="001B76E1" w:rsidRDefault="00055D86" w:rsidP="00055D86">
            <w:pPr>
              <w:rPr>
                <w:b/>
              </w:rPr>
            </w:pPr>
            <w:r w:rsidRPr="001B76E1">
              <w:rPr>
                <w:b/>
              </w:rPr>
              <w:t>STATUS / NEXT STEP</w:t>
            </w:r>
          </w:p>
        </w:tc>
        <w:tc>
          <w:tcPr>
            <w:tcW w:w="2670" w:type="dxa"/>
            <w:shd w:val="clear" w:color="auto" w:fill="FFFF00"/>
          </w:tcPr>
          <w:p w14:paraId="240B65B2" w14:textId="77777777" w:rsidR="00055D86" w:rsidRPr="001B76E1" w:rsidRDefault="00055D86" w:rsidP="00055D86">
            <w:pPr>
              <w:rPr>
                <w:b/>
              </w:rPr>
            </w:pPr>
            <w:r w:rsidRPr="001B76E1">
              <w:rPr>
                <w:b/>
              </w:rPr>
              <w:t>STATUS OF CORRESPONDING DEP REGULATION</w:t>
            </w:r>
          </w:p>
        </w:tc>
      </w:tr>
      <w:tr w:rsidR="004523B3" w:rsidRPr="001B76E1" w14:paraId="085EACD3" w14:textId="77777777" w:rsidTr="00873664">
        <w:trPr>
          <w:trHeight w:val="773"/>
        </w:trPr>
        <w:tc>
          <w:tcPr>
            <w:tcW w:w="967" w:type="dxa"/>
          </w:tcPr>
          <w:p w14:paraId="377433B5" w14:textId="5E4998DA" w:rsidR="004523B3" w:rsidRPr="001B76E1" w:rsidRDefault="004523B3" w:rsidP="004523B3"/>
          <w:p w14:paraId="7FF06FE1" w14:textId="77777777" w:rsidR="004523B3" w:rsidRPr="001B76E1" w:rsidRDefault="004523B3" w:rsidP="004523B3">
            <w:r w:rsidRPr="001B76E1">
              <w:t>SIP87</w:t>
            </w:r>
          </w:p>
        </w:tc>
        <w:tc>
          <w:tcPr>
            <w:tcW w:w="2194" w:type="dxa"/>
          </w:tcPr>
          <w:p w14:paraId="5888BFB5" w14:textId="77777777" w:rsidR="000D2480" w:rsidRDefault="000D2480" w:rsidP="004523B3"/>
          <w:p w14:paraId="460115BB" w14:textId="7AB3A332" w:rsidR="004523B3" w:rsidRPr="001B76E1" w:rsidRDefault="004523B3" w:rsidP="004523B3">
            <w:r w:rsidRPr="001B76E1">
              <w:t>§2105.21, ‘Coke Ovens and Coke Oven Gas’</w:t>
            </w:r>
            <w:r>
              <w:t xml:space="preserve"> &amp; </w:t>
            </w:r>
            <w:r w:rsidRPr="001B76E1">
              <w:t>§210</w:t>
            </w:r>
            <w:r>
              <w:t>9.01, ‘Inspections.’</w:t>
            </w:r>
          </w:p>
        </w:tc>
        <w:tc>
          <w:tcPr>
            <w:tcW w:w="2587" w:type="dxa"/>
          </w:tcPr>
          <w:p w14:paraId="1D442F1B" w14:textId="77777777" w:rsidR="003C4E37" w:rsidRDefault="003C4E37" w:rsidP="004523B3"/>
          <w:p w14:paraId="4BD0AF48" w14:textId="1FE131E7" w:rsidR="004523B3" w:rsidRDefault="004523B3" w:rsidP="004523B3">
            <w:r>
              <w:t>Add</w:t>
            </w:r>
            <w:r w:rsidRPr="001B76E1">
              <w:t xml:space="preserve"> </w:t>
            </w:r>
            <w:r>
              <w:t>coke oven-related test methods and inspection procedures and revise certain limitations. Also, update 2109.01, ‘Enforcement-Inspections’ to add a requirement for sources in general.</w:t>
            </w:r>
          </w:p>
          <w:p w14:paraId="32AB7EAD" w14:textId="748C777B" w:rsidR="003C4E37" w:rsidRPr="001B76E1" w:rsidRDefault="003C4E37" w:rsidP="004523B3"/>
        </w:tc>
        <w:tc>
          <w:tcPr>
            <w:tcW w:w="2046" w:type="dxa"/>
          </w:tcPr>
          <w:p w14:paraId="5BDBD6AA" w14:textId="77777777" w:rsidR="004523B3" w:rsidRDefault="004523B3" w:rsidP="004523B3"/>
          <w:p w14:paraId="78278138" w14:textId="7CECEA94" w:rsidR="00527D5F" w:rsidRPr="001B76E1" w:rsidRDefault="00527D5F" w:rsidP="004523B3">
            <w:r w:rsidRPr="00775DB7">
              <w:rPr>
                <w:highlight w:val="yellow"/>
              </w:rPr>
              <w:t>To review 2</w:t>
            </w:r>
            <w:r w:rsidRPr="00775DB7">
              <w:rPr>
                <w:highlight w:val="yellow"/>
                <w:vertAlign w:val="superscript"/>
              </w:rPr>
              <w:t>nd</w:t>
            </w:r>
            <w:r w:rsidRPr="00775DB7">
              <w:rPr>
                <w:highlight w:val="yellow"/>
              </w:rPr>
              <w:t xml:space="preserve"> Draft January 18, 2022.</w:t>
            </w:r>
          </w:p>
        </w:tc>
        <w:tc>
          <w:tcPr>
            <w:tcW w:w="2491" w:type="dxa"/>
          </w:tcPr>
          <w:p w14:paraId="676CCC38" w14:textId="5DD20C58" w:rsidR="00527D5F" w:rsidRDefault="00CC3DC2" w:rsidP="00A72606">
            <w:r>
              <w:t xml:space="preserve">Administrative </w:t>
            </w:r>
            <w:r w:rsidR="00527D5F">
              <w:t xml:space="preserve">Decision </w:t>
            </w:r>
            <w:r>
              <w:t>signed</w:t>
            </w:r>
            <w:r w:rsidR="00527D5F">
              <w:t xml:space="preserve"> December 6, 2021.</w:t>
            </w:r>
          </w:p>
          <w:p w14:paraId="5512E2B8" w14:textId="77777777" w:rsidR="00527D5F" w:rsidRDefault="00527D5F" w:rsidP="00A72606"/>
          <w:p w14:paraId="1E954166" w14:textId="0DAA7833" w:rsidR="00527D5F" w:rsidRPr="005C2FDB" w:rsidRDefault="00CC3DC2" w:rsidP="00A72606">
            <w:r>
              <w:t>ACHD has developed 2</w:t>
            </w:r>
            <w:r w:rsidRPr="00CC3DC2">
              <w:rPr>
                <w:vertAlign w:val="superscript"/>
              </w:rPr>
              <w:t>nd</w:t>
            </w:r>
            <w:r>
              <w:t xml:space="preserve"> draft to reflect Admin Decision and other resolutions agreed to with the source and is p</w:t>
            </w:r>
            <w:r w:rsidR="00527D5F">
              <w:t>resent</w:t>
            </w:r>
            <w:r>
              <w:t>ing</w:t>
            </w:r>
            <w:r w:rsidR="00527D5F">
              <w:t xml:space="preserve"> </w:t>
            </w:r>
            <w:r>
              <w:t>it</w:t>
            </w:r>
            <w:r w:rsidR="00527D5F">
              <w:t xml:space="preserve"> </w:t>
            </w:r>
            <w:r w:rsidR="003C4E37">
              <w:t>to Reg Subcomm,</w:t>
            </w:r>
            <w:r>
              <w:t xml:space="preserve"> as initial step toward returning it to </w:t>
            </w:r>
            <w:r w:rsidR="003C4E37">
              <w:t xml:space="preserve">public comment. </w:t>
            </w:r>
          </w:p>
        </w:tc>
        <w:tc>
          <w:tcPr>
            <w:tcW w:w="2670" w:type="dxa"/>
          </w:tcPr>
          <w:p w14:paraId="276E5C9A" w14:textId="77777777" w:rsidR="004523B3" w:rsidRDefault="004523B3" w:rsidP="004523B3"/>
          <w:p w14:paraId="51536BE2" w14:textId="5A86246A" w:rsidR="004523B3" w:rsidRPr="001B76E1" w:rsidRDefault="004523B3" w:rsidP="004523B3">
            <w:r>
              <w:t>na</w:t>
            </w:r>
          </w:p>
        </w:tc>
      </w:tr>
      <w:tr w:rsidR="005C2FDB" w:rsidRPr="001B76E1" w14:paraId="78E105B5" w14:textId="77777777" w:rsidTr="00873664">
        <w:trPr>
          <w:trHeight w:val="773"/>
        </w:trPr>
        <w:tc>
          <w:tcPr>
            <w:tcW w:w="967" w:type="dxa"/>
          </w:tcPr>
          <w:p w14:paraId="143ED338" w14:textId="77777777" w:rsidR="003C4E37" w:rsidRDefault="003C4E37" w:rsidP="005C2FDB"/>
          <w:p w14:paraId="08AA83C3" w14:textId="186C77DB" w:rsidR="005C2FDB" w:rsidRPr="001B76E1" w:rsidRDefault="005C2FDB" w:rsidP="005C2FDB">
            <w:r w:rsidRPr="001B76E1">
              <w:t>SIP96</w:t>
            </w:r>
          </w:p>
        </w:tc>
        <w:tc>
          <w:tcPr>
            <w:tcW w:w="2194" w:type="dxa"/>
          </w:tcPr>
          <w:p w14:paraId="045A549B" w14:textId="77777777" w:rsidR="003C4E37" w:rsidRDefault="003C4E37" w:rsidP="005C2FDB"/>
          <w:p w14:paraId="439FF6C9" w14:textId="61A4A4FC" w:rsidR="005C2FDB" w:rsidRPr="001B76E1" w:rsidRDefault="005C2FDB" w:rsidP="005C2FDB">
            <w:r w:rsidRPr="001B76E1">
              <w:t>§2107, ‘Methods</w:t>
            </w:r>
            <w:r>
              <w:t>’</w:t>
            </w:r>
          </w:p>
        </w:tc>
        <w:tc>
          <w:tcPr>
            <w:tcW w:w="2587" w:type="dxa"/>
          </w:tcPr>
          <w:p w14:paraId="2C0547EA" w14:textId="77777777" w:rsidR="003C4E37" w:rsidRDefault="003C4E37" w:rsidP="005C2FDB"/>
          <w:p w14:paraId="16FDDA04" w14:textId="2D7992E6" w:rsidR="005C2FDB" w:rsidRPr="001B76E1" w:rsidRDefault="005C2FDB" w:rsidP="005C2FDB">
            <w:r w:rsidRPr="001B76E1">
              <w:t>Update to reflect the reconfiguration of the Source Testing Manual</w:t>
            </w:r>
            <w:r>
              <w:t xml:space="preserve"> and revised Coke Oven Regs</w:t>
            </w:r>
            <w:r w:rsidRPr="001B76E1">
              <w:t>.</w:t>
            </w:r>
          </w:p>
        </w:tc>
        <w:tc>
          <w:tcPr>
            <w:tcW w:w="2046" w:type="dxa"/>
          </w:tcPr>
          <w:p w14:paraId="09A59310" w14:textId="58E37259" w:rsidR="003C4E37" w:rsidRPr="001B76E1" w:rsidRDefault="003C4E37" w:rsidP="005C2FDB"/>
        </w:tc>
        <w:tc>
          <w:tcPr>
            <w:tcW w:w="2491" w:type="dxa"/>
          </w:tcPr>
          <w:p w14:paraId="7CED0F86" w14:textId="77777777" w:rsidR="003C4E37" w:rsidRDefault="003C4E37" w:rsidP="005C2FDB"/>
          <w:p w14:paraId="30BEA749" w14:textId="264F8FA9" w:rsidR="005C2FDB" w:rsidRDefault="003C4E37" w:rsidP="005C2FDB">
            <w:r>
              <w:t xml:space="preserve">Address comments from January 2021 hearing, then re-join with SIP87 after </w:t>
            </w:r>
            <w:r>
              <w:t xml:space="preserve">the </w:t>
            </w:r>
            <w:r>
              <w:t>public comment period</w:t>
            </w:r>
            <w:r>
              <w:t xml:space="preserve"> for the second draft of SIP87.</w:t>
            </w:r>
            <w:r w:rsidR="00AE0E36">
              <w:t xml:space="preserve"> Expect submittal to Subcommittee in May.</w:t>
            </w:r>
          </w:p>
          <w:p w14:paraId="2A2AB00F" w14:textId="006D93CE" w:rsidR="005C2FDB" w:rsidRPr="005C2FDB" w:rsidRDefault="005C2FDB" w:rsidP="005C2FDB"/>
        </w:tc>
        <w:tc>
          <w:tcPr>
            <w:tcW w:w="2670" w:type="dxa"/>
          </w:tcPr>
          <w:p w14:paraId="42B0EB51" w14:textId="77777777" w:rsidR="005C2FDB" w:rsidRPr="001B76E1" w:rsidRDefault="005C2FDB" w:rsidP="005C2FDB"/>
          <w:p w14:paraId="1840614A" w14:textId="7118F630" w:rsidR="005C2FDB" w:rsidRPr="001B76E1" w:rsidRDefault="005C2FDB" w:rsidP="005C2FDB">
            <w:r>
              <w:t>na</w:t>
            </w:r>
          </w:p>
        </w:tc>
      </w:tr>
      <w:tr w:rsidR="005C2FDB" w:rsidRPr="001B76E1" w14:paraId="3F8D8152" w14:textId="77777777" w:rsidTr="00873664">
        <w:trPr>
          <w:trHeight w:val="773"/>
        </w:trPr>
        <w:tc>
          <w:tcPr>
            <w:tcW w:w="967" w:type="dxa"/>
          </w:tcPr>
          <w:p w14:paraId="544561F8" w14:textId="77777777" w:rsidR="005C2FDB" w:rsidRDefault="005C2FDB" w:rsidP="005C2FDB"/>
          <w:p w14:paraId="654A1382" w14:textId="77777777" w:rsidR="003C4E37" w:rsidRDefault="003C4E37" w:rsidP="005C2FDB"/>
          <w:p w14:paraId="0689FFC4" w14:textId="412937AF" w:rsidR="00320F7D" w:rsidRPr="001B76E1" w:rsidRDefault="00320F7D" w:rsidP="005C2FDB">
            <w:r>
              <w:t>(nonSIP)</w:t>
            </w:r>
          </w:p>
        </w:tc>
        <w:tc>
          <w:tcPr>
            <w:tcW w:w="2194" w:type="dxa"/>
          </w:tcPr>
          <w:p w14:paraId="4900DCF3" w14:textId="77777777" w:rsidR="003C4E37" w:rsidRDefault="003C4E37" w:rsidP="005C2FDB"/>
          <w:p w14:paraId="7725C09E" w14:textId="4939C9D5" w:rsidR="005C2FDB" w:rsidRPr="001B76E1" w:rsidRDefault="005C2FDB" w:rsidP="005C2FDB">
            <w:r w:rsidRPr="001B76E1">
              <w:t>§210</w:t>
            </w:r>
            <w:r>
              <w:t>5</w:t>
            </w:r>
            <w:r w:rsidRPr="001B76E1">
              <w:t>.</w:t>
            </w:r>
            <w:r>
              <w:t>31</w:t>
            </w:r>
            <w:r w:rsidRPr="001B76E1">
              <w:t>, “</w:t>
            </w:r>
            <w:r>
              <w:t>Waste Derived Liquid Fuel Oil”</w:t>
            </w:r>
          </w:p>
        </w:tc>
        <w:tc>
          <w:tcPr>
            <w:tcW w:w="2587" w:type="dxa"/>
          </w:tcPr>
          <w:p w14:paraId="276840AB" w14:textId="77777777" w:rsidR="003C4E37" w:rsidRDefault="003C4E37" w:rsidP="005C2FDB"/>
          <w:p w14:paraId="7591C701" w14:textId="77777777" w:rsidR="005C2FDB" w:rsidRDefault="005C2FDB" w:rsidP="005C2FDB">
            <w:r>
              <w:t>Correct testing emission reduction percentages and testing methods</w:t>
            </w:r>
            <w:r w:rsidR="003C4E37">
              <w:t>.</w:t>
            </w:r>
          </w:p>
          <w:p w14:paraId="7E5B52FF" w14:textId="188D08A8" w:rsidR="003C4E37" w:rsidRPr="001B76E1" w:rsidRDefault="003C4E37" w:rsidP="005C2FDB"/>
        </w:tc>
        <w:tc>
          <w:tcPr>
            <w:tcW w:w="2046" w:type="dxa"/>
          </w:tcPr>
          <w:p w14:paraId="528FEE54" w14:textId="77777777" w:rsidR="003C4E37" w:rsidRDefault="003C4E37" w:rsidP="005C2FDB"/>
          <w:p w14:paraId="108C0C88" w14:textId="22A000F3" w:rsidR="005C2FDB" w:rsidRPr="001B76E1" w:rsidRDefault="005C2FDB" w:rsidP="005C2FDB">
            <w:r>
              <w:t>Incorporating into work being done under SIP96</w:t>
            </w:r>
            <w:r w:rsidR="003C4E37">
              <w:t>.</w:t>
            </w:r>
          </w:p>
        </w:tc>
        <w:tc>
          <w:tcPr>
            <w:tcW w:w="2491" w:type="dxa"/>
          </w:tcPr>
          <w:p w14:paraId="62599B19" w14:textId="77777777" w:rsidR="003C4E37" w:rsidRDefault="003C4E37" w:rsidP="005C2FDB"/>
          <w:p w14:paraId="67C975AD" w14:textId="76B6EAC6" w:rsidR="005C2FDB" w:rsidRDefault="005C2FDB" w:rsidP="005C2FDB">
            <w:pPr>
              <w:rPr>
                <w:b/>
                <w:bCs/>
              </w:rPr>
            </w:pPr>
            <w:r>
              <w:t>With SIP96 work, above.</w:t>
            </w:r>
          </w:p>
        </w:tc>
        <w:tc>
          <w:tcPr>
            <w:tcW w:w="2670" w:type="dxa"/>
          </w:tcPr>
          <w:p w14:paraId="36B4577F" w14:textId="540BF191" w:rsidR="005C2FDB" w:rsidRPr="001B76E1" w:rsidRDefault="005C2FDB" w:rsidP="005C2FDB">
            <w:r>
              <w:t>na</w:t>
            </w:r>
          </w:p>
        </w:tc>
      </w:tr>
    </w:tbl>
    <w:p w14:paraId="7738B30A" w14:textId="16EED781" w:rsidR="0077463E" w:rsidRDefault="0077463E"/>
    <w:tbl>
      <w:tblPr>
        <w:tblStyle w:val="TableGrid"/>
        <w:tblpPr w:leftFromText="180" w:rightFromText="180" w:horzAnchor="margin" w:tblpY="543"/>
        <w:tblW w:w="12955" w:type="dxa"/>
        <w:tblLook w:val="04A0" w:firstRow="1" w:lastRow="0" w:firstColumn="1" w:lastColumn="0" w:noHBand="0" w:noVBand="1"/>
      </w:tblPr>
      <w:tblGrid>
        <w:gridCol w:w="845"/>
        <w:gridCol w:w="2217"/>
        <w:gridCol w:w="2615"/>
        <w:gridCol w:w="2058"/>
        <w:gridCol w:w="2518"/>
        <w:gridCol w:w="2702"/>
      </w:tblGrid>
      <w:tr w:rsidR="0077463E" w:rsidRPr="001B76E1" w14:paraId="0F026F35" w14:textId="77777777" w:rsidTr="00341029">
        <w:trPr>
          <w:trHeight w:val="773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FFFF00"/>
          </w:tcPr>
          <w:p w14:paraId="0BEE11FB" w14:textId="54FF5E75" w:rsidR="0077463E" w:rsidRPr="001B76E1" w:rsidRDefault="0077463E" w:rsidP="0077463E">
            <w:pPr>
              <w:rPr>
                <w:b/>
              </w:rPr>
            </w:pPr>
            <w:r w:rsidRPr="001B76E1">
              <w:rPr>
                <w:b/>
              </w:rPr>
              <w:lastRenderedPageBreak/>
              <w:t>SIP FILE #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00"/>
          </w:tcPr>
          <w:p w14:paraId="47348620" w14:textId="77777777" w:rsidR="0077463E" w:rsidRPr="001B76E1" w:rsidRDefault="0077463E" w:rsidP="0077463E">
            <w:pPr>
              <w:rPr>
                <w:b/>
              </w:rPr>
            </w:pPr>
            <w:r w:rsidRPr="001B76E1">
              <w:rPr>
                <w:b/>
              </w:rPr>
              <w:t>ARTICLE XXI SECTION(S)</w:t>
            </w:r>
          </w:p>
          <w:p w14:paraId="450A5F74" w14:textId="77777777" w:rsidR="0077463E" w:rsidRPr="001B76E1" w:rsidRDefault="0077463E" w:rsidP="0077463E">
            <w:pPr>
              <w:rPr>
                <w:b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FFF00"/>
          </w:tcPr>
          <w:p w14:paraId="39FCB936" w14:textId="77777777" w:rsidR="0077463E" w:rsidRPr="001B76E1" w:rsidRDefault="0077463E" w:rsidP="0077463E">
            <w:pPr>
              <w:rPr>
                <w:b/>
              </w:rPr>
            </w:pPr>
            <w:r w:rsidRPr="001B76E1">
              <w:rPr>
                <w:b/>
              </w:rPr>
              <w:t xml:space="preserve"> DESCRIPTION OF CHANGE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FFF00"/>
          </w:tcPr>
          <w:p w14:paraId="2F5A1ED1" w14:textId="77777777" w:rsidR="0077463E" w:rsidRPr="001B76E1" w:rsidRDefault="0077463E" w:rsidP="0077463E">
            <w:pPr>
              <w:rPr>
                <w:b/>
              </w:rPr>
            </w:pPr>
            <w:r w:rsidRPr="001B76E1">
              <w:rPr>
                <w:b/>
              </w:rPr>
              <w:t>REGULATION SUBCOMMITTEE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00"/>
          </w:tcPr>
          <w:p w14:paraId="2F5CF55E" w14:textId="77777777" w:rsidR="0077463E" w:rsidRPr="001B76E1" w:rsidRDefault="0077463E" w:rsidP="0077463E">
            <w:pPr>
              <w:rPr>
                <w:b/>
              </w:rPr>
            </w:pPr>
            <w:r w:rsidRPr="001B76E1">
              <w:rPr>
                <w:b/>
              </w:rPr>
              <w:t>STATUS / NEXT STEP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00"/>
          </w:tcPr>
          <w:p w14:paraId="1C3DEEE4" w14:textId="77777777" w:rsidR="0077463E" w:rsidRPr="001B76E1" w:rsidRDefault="0077463E" w:rsidP="0077463E">
            <w:pPr>
              <w:rPr>
                <w:b/>
              </w:rPr>
            </w:pPr>
            <w:r w:rsidRPr="001B76E1">
              <w:rPr>
                <w:b/>
              </w:rPr>
              <w:t>STATUS OF CORRESPONDING DEP REGULATION</w:t>
            </w:r>
          </w:p>
        </w:tc>
      </w:tr>
      <w:tr w:rsidR="00E2120A" w:rsidRPr="001B76E1" w14:paraId="0D1F4609" w14:textId="77777777" w:rsidTr="00341029">
        <w:trPr>
          <w:trHeight w:val="551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51D465A" w14:textId="77777777" w:rsidR="00E2120A" w:rsidRPr="001B76E1" w:rsidRDefault="00E2120A" w:rsidP="00E2120A">
            <w:pPr>
              <w:ind w:left="60" w:hanging="60"/>
              <w:rPr>
                <w:rFonts w:eastAsia="Times New Roman" w:cstheme="minorHAnsi"/>
              </w:rPr>
            </w:pPr>
          </w:p>
          <w:p w14:paraId="513A48EF" w14:textId="1F20B494" w:rsidR="00E2120A" w:rsidRPr="00A72606" w:rsidRDefault="00E2120A" w:rsidP="00E2120A">
            <w:r w:rsidRPr="001B76E1">
              <w:rPr>
                <w:rFonts w:eastAsia="Times New Roman" w:cstheme="minorHAnsi"/>
              </w:rPr>
              <w:t>SIP95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40CCD58" w14:textId="349EA8BA" w:rsidR="00E2120A" w:rsidRPr="00A72606" w:rsidRDefault="00E2120A" w:rsidP="00E2120A">
            <w:r w:rsidRPr="00F46659">
              <w:t>§2102 and §2103</w:t>
            </w:r>
            <w:r w:rsidRPr="00F46659">
              <w:rPr>
                <w:rFonts w:eastAsia="Times New Roman" w:cstheme="minorHAnsi"/>
              </w:rPr>
              <w:t xml:space="preserve"> sections related to Permit Advertising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A2E7E9D" w14:textId="5991824F" w:rsidR="00E2120A" w:rsidRPr="00D827AB" w:rsidRDefault="00E2120A" w:rsidP="00E2120A">
            <w:r w:rsidRPr="001B76E1">
              <w:t>Publish notices on ACHD webpage instead of in newspaper ads.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4BC181E" w14:textId="1FE2F12D" w:rsidR="00E2120A" w:rsidRDefault="00E2120A" w:rsidP="00E2120A">
            <w:r>
              <w:t xml:space="preserve">Subcommittee completed its input </w:t>
            </w:r>
            <w:r w:rsidRPr="000151B7">
              <w:t xml:space="preserve"> November 23, 2021.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0BC1AB" w14:textId="77777777" w:rsidR="00E2120A" w:rsidRPr="00E2120A" w:rsidRDefault="00E2120A" w:rsidP="00E2120A">
            <w:r w:rsidRPr="00E2120A">
              <w:t>BOH approved January 5, 2022 for final approval.</w:t>
            </w:r>
          </w:p>
          <w:p w14:paraId="5EF5EA86" w14:textId="2E1188BA" w:rsidR="00E2120A" w:rsidRDefault="00E2120A" w:rsidP="00E2120A">
            <w:r>
              <w:rPr>
                <w:b/>
                <w:bCs/>
                <w:highlight w:val="yellow"/>
              </w:rPr>
              <w:t>To County Council next.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55F1ACD" w14:textId="77777777" w:rsidR="00E2120A" w:rsidRPr="00E2120A" w:rsidRDefault="00E2120A" w:rsidP="00E2120A"/>
          <w:p w14:paraId="1B32F64A" w14:textId="4ED08F4B" w:rsidR="00E2120A" w:rsidRPr="00E2120A" w:rsidRDefault="00E2120A" w:rsidP="00E2120A">
            <w:r w:rsidRPr="00E2120A">
              <w:t>na</w:t>
            </w:r>
          </w:p>
        </w:tc>
      </w:tr>
      <w:tr w:rsidR="00E2120A" w:rsidRPr="001B76E1" w14:paraId="5B05D42D" w14:textId="77777777" w:rsidTr="00341029">
        <w:trPr>
          <w:trHeight w:val="551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95C60C3" w14:textId="77777777" w:rsidR="00A556F8" w:rsidRDefault="00A556F8" w:rsidP="00E2120A"/>
          <w:p w14:paraId="3E3F1CB1" w14:textId="31EBAD19" w:rsidR="00E2120A" w:rsidRPr="001B76E1" w:rsidRDefault="00E2120A" w:rsidP="00E2120A">
            <w:r w:rsidRPr="001B76E1">
              <w:t>(Non)</w:t>
            </w:r>
          </w:p>
          <w:p w14:paraId="407F43B6" w14:textId="163C8267" w:rsidR="00E2120A" w:rsidRPr="00A72606" w:rsidRDefault="00E2120A" w:rsidP="00E2120A">
            <w:r w:rsidRPr="001B76E1">
              <w:t>SIP86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D5576CE" w14:textId="17C35DF2" w:rsidR="00E2120A" w:rsidRPr="00A72606" w:rsidRDefault="00E2120A" w:rsidP="00E2120A">
            <w:r w:rsidRPr="001B76E1">
              <w:t>§2104.08, ‘NESHAPS,’  impacted by ACHD withdrawal from Risk Manag</w:t>
            </w:r>
            <w:r>
              <w:t>e</w:t>
            </w:r>
            <w:r w:rsidRPr="001B76E1">
              <w:t xml:space="preserve"> Program.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2BBA6F0" w14:textId="07C463AF" w:rsidR="00E2120A" w:rsidRPr="00D827AB" w:rsidRDefault="00E2120A" w:rsidP="00E2120A">
            <w:r>
              <w:t>D</w:t>
            </w:r>
            <w:r w:rsidRPr="001B76E1">
              <w:t>eleting references to incorporating by reference 112(r) related regulations.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000074" w14:textId="6BD24C73" w:rsidR="00E2120A" w:rsidRDefault="00E2120A" w:rsidP="00E2120A">
            <w:r>
              <w:t xml:space="preserve">Subcommittee completed its input </w:t>
            </w:r>
            <w:r w:rsidRPr="000151B7">
              <w:t xml:space="preserve"> November 23, 2021.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FDADBB" w14:textId="77777777" w:rsidR="00E2120A" w:rsidRDefault="00E2120A" w:rsidP="00E2120A">
            <w:pPr>
              <w:rPr>
                <w:highlight w:val="yellow"/>
              </w:rPr>
            </w:pPr>
          </w:p>
          <w:p w14:paraId="2D5197AA" w14:textId="27DFD3A9" w:rsidR="00E2120A" w:rsidRDefault="00E2120A" w:rsidP="00E2120A">
            <w:pPr>
              <w:rPr>
                <w:highlight w:val="yellow"/>
              </w:rPr>
            </w:pPr>
            <w:r w:rsidRPr="00823F02">
              <w:rPr>
                <w:highlight w:val="yellow"/>
              </w:rPr>
              <w:t>Same status as SIP95</w:t>
            </w:r>
            <w:r w:rsidR="00256ED1">
              <w:rPr>
                <w:highlight w:val="yellow"/>
              </w:rPr>
              <w:t>, i.e.,</w:t>
            </w:r>
          </w:p>
          <w:p w14:paraId="3F1E55FC" w14:textId="1C9EB98D" w:rsidR="00E2120A" w:rsidRDefault="00256ED1" w:rsidP="00E2120A">
            <w:r>
              <w:rPr>
                <w:b/>
                <w:bCs/>
                <w:highlight w:val="yellow"/>
              </w:rPr>
              <w:t>t</w:t>
            </w:r>
            <w:r w:rsidR="00E2120A">
              <w:rPr>
                <w:b/>
                <w:bCs/>
                <w:highlight w:val="yellow"/>
              </w:rPr>
              <w:t>o County Council next.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6BD602" w14:textId="77777777" w:rsidR="00E2120A" w:rsidRDefault="00E2120A" w:rsidP="00E2120A">
            <w:pPr>
              <w:rPr>
                <w:highlight w:val="yellow"/>
              </w:rPr>
            </w:pPr>
          </w:p>
          <w:p w14:paraId="09D56810" w14:textId="543F827D" w:rsidR="00E2120A" w:rsidRDefault="00E2120A" w:rsidP="00E2120A">
            <w:pPr>
              <w:rPr>
                <w:highlight w:val="yellow"/>
              </w:rPr>
            </w:pPr>
            <w:r w:rsidRPr="00E2120A">
              <w:t>na</w:t>
            </w:r>
          </w:p>
        </w:tc>
      </w:tr>
      <w:tr w:rsidR="00E2120A" w:rsidRPr="001B76E1" w14:paraId="2CAF0390" w14:textId="77777777" w:rsidTr="00341029">
        <w:trPr>
          <w:trHeight w:val="551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B35C4DC" w14:textId="77777777" w:rsidR="00E2120A" w:rsidRPr="00A72606" w:rsidRDefault="00E2120A" w:rsidP="00E2120A"/>
          <w:p w14:paraId="5B69E5EA" w14:textId="28CDE7DE" w:rsidR="00E2120A" w:rsidRPr="00A72606" w:rsidRDefault="00E2120A" w:rsidP="00E2120A">
            <w:r w:rsidRPr="00A72606">
              <w:t>SIP91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E45061A" w14:textId="77777777" w:rsidR="00E2120A" w:rsidRPr="00A72606" w:rsidRDefault="00E2120A" w:rsidP="00E2120A"/>
          <w:p w14:paraId="08A63759" w14:textId="70386D15" w:rsidR="00E2120A" w:rsidRPr="00A72606" w:rsidRDefault="00E2120A" w:rsidP="00E2120A">
            <w:r w:rsidRPr="00A72606">
              <w:t>§2105.14, “Gasoline Dispensing Facilities – Stage II Control.”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802A83F" w14:textId="77777777" w:rsidR="00E2120A" w:rsidRPr="00D827AB" w:rsidRDefault="00E2120A" w:rsidP="00E2120A"/>
          <w:p w14:paraId="6DAE1AD3" w14:textId="77777777" w:rsidR="00E2120A" w:rsidRDefault="00E2120A" w:rsidP="00E2120A">
            <w:r w:rsidRPr="00D827AB">
              <w:t xml:space="preserve">Decommissioning Stage II equipment and enhanced leak detect/monitoring requirements for Stage 1. </w:t>
            </w:r>
          </w:p>
          <w:p w14:paraId="6BA6160A" w14:textId="33AC2256" w:rsidR="00E2120A" w:rsidRPr="00D827AB" w:rsidRDefault="00E2120A" w:rsidP="00E2120A"/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3EE4611" w14:textId="77777777" w:rsidR="00E2120A" w:rsidRDefault="00E2120A" w:rsidP="00E2120A"/>
          <w:p w14:paraId="5DA86D20" w14:textId="435C90F9" w:rsidR="00E2120A" w:rsidRDefault="00E2120A" w:rsidP="00E2120A">
            <w:r>
              <w:t>Completed input.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FF935F0" w14:textId="77777777" w:rsidR="00E2120A" w:rsidRDefault="00E2120A" w:rsidP="00E2120A"/>
          <w:p w14:paraId="147BF825" w14:textId="77777777" w:rsidR="00341029" w:rsidRDefault="00E2120A" w:rsidP="00E2120A">
            <w:r w:rsidRPr="00D827AB">
              <w:t xml:space="preserve">BOH approved </w:t>
            </w:r>
          </w:p>
          <w:p w14:paraId="07A68033" w14:textId="593901EA" w:rsidR="00E2120A" w:rsidRPr="00D827AB" w:rsidRDefault="00E2120A" w:rsidP="00E2120A">
            <w:r w:rsidRPr="00D827AB">
              <w:t>Nov</w:t>
            </w:r>
            <w:r w:rsidR="00341029">
              <w:t>ember</w:t>
            </w:r>
            <w:r w:rsidRPr="00D827AB">
              <w:t xml:space="preserve"> 3</w:t>
            </w:r>
            <w:r w:rsidR="00341029">
              <w:t>, 2021</w:t>
            </w:r>
            <w:r w:rsidRPr="00D827AB">
              <w:t>.</w:t>
            </w:r>
          </w:p>
          <w:p w14:paraId="216F4942" w14:textId="09B1C1F2" w:rsidR="00E2120A" w:rsidRPr="007E445D" w:rsidRDefault="00E2120A" w:rsidP="00E2120A">
            <w:r w:rsidRPr="00341029">
              <w:rPr>
                <w:b/>
                <w:bCs/>
                <w:highlight w:val="yellow"/>
              </w:rPr>
              <w:t>Submit</w:t>
            </w:r>
            <w:r w:rsidR="00341029">
              <w:rPr>
                <w:b/>
                <w:bCs/>
                <w:highlight w:val="yellow"/>
              </w:rPr>
              <w:t>ted</w:t>
            </w:r>
            <w:r w:rsidRPr="00341029">
              <w:rPr>
                <w:b/>
                <w:bCs/>
                <w:highlight w:val="yellow"/>
              </w:rPr>
              <w:t xml:space="preserve"> to County Council</w:t>
            </w:r>
            <w:r w:rsidR="00341029">
              <w:rPr>
                <w:b/>
                <w:bCs/>
                <w:highlight w:val="yellow"/>
              </w:rPr>
              <w:t xml:space="preserve"> for</w:t>
            </w:r>
            <w:r w:rsidRPr="00341029">
              <w:rPr>
                <w:b/>
                <w:bCs/>
                <w:highlight w:val="yellow"/>
              </w:rPr>
              <w:t xml:space="preserve"> next legislative session in January</w:t>
            </w:r>
            <w:r w:rsidR="00341029">
              <w:rPr>
                <w:b/>
                <w:bCs/>
              </w:rPr>
              <w:t>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4A56A8C" w14:textId="77777777" w:rsidR="00E2120A" w:rsidRDefault="00E2120A" w:rsidP="00E2120A">
            <w:pPr>
              <w:rPr>
                <w:highlight w:val="yellow"/>
              </w:rPr>
            </w:pPr>
          </w:p>
          <w:p w14:paraId="5278881A" w14:textId="7C05C39A" w:rsidR="00E2120A" w:rsidRPr="00D827AB" w:rsidRDefault="00E2120A" w:rsidP="00E2120A">
            <w:r w:rsidRPr="00D827AB">
              <w:t>DEP’s Final Form rule to EQB Nov 16, 2021.</w:t>
            </w:r>
          </w:p>
          <w:p w14:paraId="455A1A48" w14:textId="750A36F1" w:rsidR="00E2120A" w:rsidRPr="00601BE1" w:rsidRDefault="00E2120A" w:rsidP="00E2120A">
            <w:r w:rsidRPr="00D827AB">
              <w:rPr>
                <w:b/>
                <w:bCs/>
                <w:highlight w:val="yellow"/>
              </w:rPr>
              <w:t>(</w:t>
            </w:r>
            <w:r w:rsidRPr="00D827AB">
              <w:rPr>
                <w:highlight w:val="yellow"/>
              </w:rPr>
              <w:t>EPA seeks near concurrent issuance.)</w:t>
            </w:r>
          </w:p>
        </w:tc>
      </w:tr>
      <w:tr w:rsidR="00E2120A" w:rsidRPr="001B76E1" w14:paraId="0173F2DF" w14:textId="77777777" w:rsidTr="00341029">
        <w:trPr>
          <w:trHeight w:val="551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472D69B" w14:textId="77777777" w:rsidR="00E2120A" w:rsidRPr="00A72606" w:rsidRDefault="00E2120A" w:rsidP="00E2120A"/>
          <w:p w14:paraId="149FC556" w14:textId="77777777" w:rsidR="00E2120A" w:rsidRPr="00A72606" w:rsidRDefault="00E2120A" w:rsidP="00E2120A">
            <w:r w:rsidRPr="00A72606">
              <w:t>(Non)</w:t>
            </w:r>
          </w:p>
          <w:p w14:paraId="42E8E593" w14:textId="50624397" w:rsidR="00E2120A" w:rsidRPr="00A72606" w:rsidRDefault="00E2120A" w:rsidP="00E2120A">
            <w:r w:rsidRPr="00A72606">
              <w:t>SIP89A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4C7DF68" w14:textId="77777777" w:rsidR="00E2120A" w:rsidRPr="00A72606" w:rsidRDefault="00E2120A" w:rsidP="00E2120A"/>
          <w:p w14:paraId="7BBC1695" w14:textId="62D273AB" w:rsidR="00E2120A" w:rsidRPr="00A72606" w:rsidRDefault="00E2120A" w:rsidP="00E2120A">
            <w:r w:rsidRPr="00A72606">
              <w:t>§2105.90, ‘Gasoline Volatility’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DB1A8F8" w14:textId="77777777" w:rsidR="00E2120A" w:rsidRDefault="00E2120A" w:rsidP="00E2120A"/>
          <w:p w14:paraId="3EAC4DA0" w14:textId="0862B475" w:rsidR="00E2120A" w:rsidRPr="00D827AB" w:rsidRDefault="00E2120A" w:rsidP="00E2120A">
            <w:r w:rsidRPr="00D827AB">
              <w:t>Deleting from Article XXI--</w:t>
            </w:r>
          </w:p>
          <w:p w14:paraId="79BB5EB1" w14:textId="787313C1" w:rsidR="00E2120A" w:rsidRPr="00D827AB" w:rsidRDefault="00E2120A" w:rsidP="00E2120A">
            <w:r w:rsidRPr="00D827AB">
              <w:t xml:space="preserve">The requirements were removed from the SIP last year. Now the reg can be removed from Article XXI. 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4D3D678" w14:textId="77777777" w:rsidR="00E2120A" w:rsidRDefault="00E2120A" w:rsidP="00E2120A"/>
          <w:p w14:paraId="242CA337" w14:textId="62EC7866" w:rsidR="00E2120A" w:rsidRDefault="00E2120A" w:rsidP="00E2120A">
            <w:r>
              <w:t>Completed input.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F3CD431" w14:textId="77777777" w:rsidR="00E2120A" w:rsidRDefault="00E2120A" w:rsidP="00E2120A">
            <w:pPr>
              <w:rPr>
                <w:highlight w:val="yellow"/>
              </w:rPr>
            </w:pPr>
          </w:p>
          <w:p w14:paraId="1A6E918B" w14:textId="32B99491" w:rsidR="00E2120A" w:rsidRDefault="00E2120A" w:rsidP="00E2120A">
            <w:r w:rsidRPr="006001ED">
              <w:rPr>
                <w:highlight w:val="yellow"/>
              </w:rPr>
              <w:t>Same as SIP 91, above</w:t>
            </w:r>
            <w:r w:rsidR="00256ED1">
              <w:t xml:space="preserve">, i.e., </w:t>
            </w:r>
          </w:p>
          <w:p w14:paraId="5F7E32A5" w14:textId="6A97ADA9" w:rsidR="00341029" w:rsidRPr="00341029" w:rsidRDefault="00256ED1" w:rsidP="00E212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</w:t>
            </w:r>
            <w:r w:rsidR="00341029" w:rsidRPr="00341029">
              <w:rPr>
                <w:b/>
                <w:bCs/>
              </w:rPr>
              <w:t>County Council next.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7CBBFB8" w14:textId="77777777" w:rsidR="00E2120A" w:rsidRPr="001B76E1" w:rsidRDefault="00E2120A" w:rsidP="00E2120A"/>
          <w:p w14:paraId="0769D097" w14:textId="4E86BAC7" w:rsidR="00E2120A" w:rsidRPr="00601BE1" w:rsidRDefault="00E2120A" w:rsidP="00E2120A">
            <w:r w:rsidRPr="008B4309">
              <w:t>State is moving ahead with removing their regulation.</w:t>
            </w:r>
          </w:p>
        </w:tc>
      </w:tr>
      <w:tr w:rsidR="00E2120A" w:rsidRPr="001B76E1" w14:paraId="45F34EE6" w14:textId="77777777" w:rsidTr="00055D86">
        <w:trPr>
          <w:trHeight w:val="551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14:paraId="5786A61B" w14:textId="77777777" w:rsidR="00E2120A" w:rsidRDefault="00E2120A" w:rsidP="00E2120A"/>
          <w:p w14:paraId="07061E1C" w14:textId="6C496A79" w:rsidR="00E2120A" w:rsidRPr="00873664" w:rsidRDefault="00E2120A" w:rsidP="00E2120A">
            <w:r w:rsidRPr="00873664">
              <w:t>SIP97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14:paraId="707E5717" w14:textId="77777777" w:rsidR="00E2120A" w:rsidRDefault="00E2120A" w:rsidP="00E2120A"/>
          <w:p w14:paraId="10BDBDDD" w14:textId="73881AEC" w:rsidR="00E2120A" w:rsidRPr="001B76E1" w:rsidRDefault="00E2120A" w:rsidP="00E2120A">
            <w:r>
              <w:t>New Section 2106.06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14:paraId="628F030A" w14:textId="77777777" w:rsidR="00E2120A" w:rsidRDefault="00E2120A" w:rsidP="00E2120A"/>
          <w:p w14:paraId="5A2988C5" w14:textId="39E00790" w:rsidR="00E2120A" w:rsidRPr="007E445D" w:rsidRDefault="00E2120A" w:rsidP="00E2120A">
            <w:r w:rsidRPr="007E445D">
              <w:t>Episodic Control Plan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3C496DDB" w14:textId="77777777" w:rsidR="00E2120A" w:rsidRDefault="00E2120A" w:rsidP="00E2120A"/>
          <w:p w14:paraId="0670E455" w14:textId="750A3952" w:rsidR="00E2120A" w:rsidRDefault="00E2120A" w:rsidP="00E2120A">
            <w:r>
              <w:t>Completed input.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7257EC7D" w14:textId="1399A372" w:rsidR="00E2120A" w:rsidRDefault="00E2120A" w:rsidP="00E2120A">
            <w:r w:rsidRPr="007E445D">
              <w:t>Council app</w:t>
            </w:r>
            <w:r>
              <w:t>roved</w:t>
            </w:r>
            <w:r w:rsidRPr="007E445D">
              <w:t xml:space="preserve"> Sept14. Chief Exec </w:t>
            </w:r>
            <w:r>
              <w:t>signed</w:t>
            </w:r>
            <w:r w:rsidRPr="007E445D">
              <w:t xml:space="preserve"> Sept15. </w:t>
            </w:r>
          </w:p>
          <w:p w14:paraId="6E3EC48A" w14:textId="77777777" w:rsidR="00E2120A" w:rsidRDefault="00E2120A" w:rsidP="00E2120A">
            <w:pPr>
              <w:rPr>
                <w:b/>
                <w:bCs/>
              </w:rPr>
            </w:pPr>
            <w:r w:rsidRPr="007E445D">
              <w:t>Effective Sept 25.</w:t>
            </w:r>
            <w:r w:rsidRPr="007E445D">
              <w:rPr>
                <w:b/>
                <w:bCs/>
              </w:rPr>
              <w:t xml:space="preserve"> </w:t>
            </w:r>
          </w:p>
          <w:p w14:paraId="297B79D5" w14:textId="77777777" w:rsidR="00E2120A" w:rsidRDefault="00E2120A" w:rsidP="00E2120A">
            <w:r w:rsidRPr="00A72606">
              <w:rPr>
                <w:highlight w:val="yellow"/>
              </w:rPr>
              <w:t>Submit to DEP in future.</w:t>
            </w:r>
          </w:p>
          <w:p w14:paraId="33F44089" w14:textId="0D344659" w:rsidR="00E2120A" w:rsidRPr="00A72606" w:rsidRDefault="00E2120A" w:rsidP="00E2120A"/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14:paraId="2A8DFC75" w14:textId="77777777" w:rsidR="00E2120A" w:rsidRDefault="00E2120A" w:rsidP="00E2120A"/>
          <w:p w14:paraId="3C5C8F54" w14:textId="2445F328" w:rsidR="00E2120A" w:rsidRDefault="00E2120A" w:rsidP="00E2120A">
            <w:r w:rsidRPr="00601BE1">
              <w:t>na</w:t>
            </w:r>
          </w:p>
        </w:tc>
      </w:tr>
    </w:tbl>
    <w:p w14:paraId="6CB8F4F5" w14:textId="0DD47B34" w:rsidR="00052661" w:rsidRDefault="00052661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 w:type="page"/>
      </w:r>
    </w:p>
    <w:p w14:paraId="2B871FBB" w14:textId="77777777" w:rsidR="00052661" w:rsidRDefault="00052661" w:rsidP="00033648">
      <w:pPr>
        <w:tabs>
          <w:tab w:val="left" w:pos="1860"/>
        </w:tabs>
        <w:rPr>
          <w:color w:val="000000" w:themeColor="text1"/>
          <w:sz w:val="18"/>
          <w:szCs w:val="18"/>
        </w:rPr>
      </w:pPr>
    </w:p>
    <w:p w14:paraId="0A341520" w14:textId="50798960" w:rsidR="00D36D15" w:rsidRPr="00295232" w:rsidRDefault="00D36D15" w:rsidP="00033648">
      <w:pPr>
        <w:tabs>
          <w:tab w:val="left" w:pos="1860"/>
        </w:tabs>
        <w:rPr>
          <w:sz w:val="20"/>
          <w:szCs w:val="20"/>
        </w:rPr>
      </w:pPr>
      <w:r w:rsidRPr="00295232">
        <w:rPr>
          <w:sz w:val="20"/>
          <w:szCs w:val="20"/>
        </w:rPr>
        <w:t>The table spans the period over which the following reviews and approvals are typically conducted:</w:t>
      </w:r>
    </w:p>
    <w:p w14:paraId="0B1B13D1" w14:textId="2B12C78C" w:rsidR="00D36D15" w:rsidRPr="00295232" w:rsidRDefault="00D36D15" w:rsidP="00B00D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5232">
        <w:rPr>
          <w:sz w:val="20"/>
          <w:szCs w:val="20"/>
        </w:rPr>
        <w:t>Regulation Subcommittee is presented with a draft Article XXI regulation change for the first time and provides comments.</w:t>
      </w:r>
    </w:p>
    <w:p w14:paraId="28D3EC54" w14:textId="24C762AE" w:rsidR="00D36D15" w:rsidRPr="00295232" w:rsidRDefault="00D36D15" w:rsidP="00B00D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5232">
        <w:rPr>
          <w:sz w:val="20"/>
          <w:szCs w:val="20"/>
        </w:rPr>
        <w:t>Regulation Subcommittee is presented with as many subsequent updated drafts of the regulation as necessary to resolve its concerns.</w:t>
      </w:r>
    </w:p>
    <w:p w14:paraId="651E1D38" w14:textId="0362B17F" w:rsidR="00D36D15" w:rsidRPr="00295232" w:rsidRDefault="00D36D15" w:rsidP="00B00D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5232">
        <w:rPr>
          <w:sz w:val="20"/>
          <w:szCs w:val="20"/>
        </w:rPr>
        <w:t>Regulation Subcommittee recommends the draft regulation revision for review by the Air Quality Advisory Committee.</w:t>
      </w:r>
    </w:p>
    <w:p w14:paraId="4F53CADB" w14:textId="43B2442B" w:rsidR="00D36D15" w:rsidRPr="00295232" w:rsidRDefault="00D36D15" w:rsidP="00B00D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5232">
        <w:rPr>
          <w:sz w:val="20"/>
          <w:szCs w:val="20"/>
        </w:rPr>
        <w:t>Advisory Committee reviews and</w:t>
      </w:r>
      <w:r w:rsidR="00BA5D86" w:rsidRPr="00295232">
        <w:rPr>
          <w:sz w:val="20"/>
          <w:szCs w:val="20"/>
        </w:rPr>
        <w:t>, if it finds the revision satisfactory,</w:t>
      </w:r>
      <w:r w:rsidRPr="00295232">
        <w:rPr>
          <w:sz w:val="20"/>
          <w:szCs w:val="20"/>
        </w:rPr>
        <w:t xml:space="preserve"> recommends </w:t>
      </w:r>
      <w:r w:rsidR="00BA5D86" w:rsidRPr="00295232">
        <w:rPr>
          <w:sz w:val="20"/>
          <w:szCs w:val="20"/>
        </w:rPr>
        <w:t xml:space="preserve">to the BOH that </w:t>
      </w:r>
      <w:r w:rsidRPr="00295232">
        <w:rPr>
          <w:sz w:val="20"/>
          <w:szCs w:val="20"/>
        </w:rPr>
        <w:t xml:space="preserve">the proposed regulation revision </w:t>
      </w:r>
      <w:r w:rsidR="00BA5D86" w:rsidRPr="00295232">
        <w:rPr>
          <w:sz w:val="20"/>
          <w:szCs w:val="20"/>
        </w:rPr>
        <w:t>go to public comment</w:t>
      </w:r>
      <w:r w:rsidRPr="00295232">
        <w:rPr>
          <w:sz w:val="20"/>
          <w:szCs w:val="20"/>
        </w:rPr>
        <w:t>.</w:t>
      </w:r>
    </w:p>
    <w:p w14:paraId="5C9A0168" w14:textId="28E433C9" w:rsidR="00D36D15" w:rsidRPr="00295232" w:rsidRDefault="00D36D15" w:rsidP="00B00D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5232">
        <w:rPr>
          <w:sz w:val="20"/>
          <w:szCs w:val="20"/>
        </w:rPr>
        <w:t>BOH reviews the proposed regulation revision and if it finds it satisfactory, approves a public comment period and public hearing.</w:t>
      </w:r>
    </w:p>
    <w:p w14:paraId="1B34E86C" w14:textId="15D309BB" w:rsidR="00D36D15" w:rsidRPr="00295232" w:rsidRDefault="00D36D15" w:rsidP="00823AE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5232">
        <w:rPr>
          <w:sz w:val="20"/>
          <w:szCs w:val="20"/>
        </w:rPr>
        <w:t>ACHD conducts a public comment period and public hearing.</w:t>
      </w:r>
    </w:p>
    <w:p w14:paraId="57C53174" w14:textId="4281E29D" w:rsidR="00D36D15" w:rsidRPr="00295232" w:rsidRDefault="00D36D15" w:rsidP="00823AE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5232">
        <w:rPr>
          <w:sz w:val="20"/>
          <w:szCs w:val="20"/>
        </w:rPr>
        <w:t xml:space="preserve">ACHD resolves comments and submits </w:t>
      </w:r>
      <w:r w:rsidR="00DB1BB8" w:rsidRPr="00295232">
        <w:rPr>
          <w:sz w:val="20"/>
          <w:szCs w:val="20"/>
        </w:rPr>
        <w:t>proposed regulation revision, with any incorporated changes made necessary by the public comments, to the Regulation Subcommittee for its review.</w:t>
      </w:r>
    </w:p>
    <w:p w14:paraId="43070E26" w14:textId="7514D1BA" w:rsidR="00DB1BB8" w:rsidRPr="00295232" w:rsidRDefault="00DB1BB8" w:rsidP="00823AE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5232">
        <w:rPr>
          <w:sz w:val="20"/>
          <w:szCs w:val="20"/>
        </w:rPr>
        <w:t xml:space="preserve">Regulation </w:t>
      </w:r>
      <w:r w:rsidR="00B00DFE" w:rsidRPr="00295232">
        <w:rPr>
          <w:sz w:val="20"/>
          <w:szCs w:val="20"/>
        </w:rPr>
        <w:t>Subcommittee</w:t>
      </w:r>
      <w:r w:rsidRPr="00295232">
        <w:rPr>
          <w:sz w:val="20"/>
          <w:szCs w:val="20"/>
        </w:rPr>
        <w:t xml:space="preserve"> reviews and provides its recommendation for or against approval of the proposed regulation to the Advisory Committee for consideration.</w:t>
      </w:r>
    </w:p>
    <w:p w14:paraId="00B6ADF0" w14:textId="77777777" w:rsidR="00DB1BB8" w:rsidRPr="00295232" w:rsidRDefault="00DB1BB8" w:rsidP="00823AE8">
      <w:pPr>
        <w:pStyle w:val="ListParagraph"/>
        <w:numPr>
          <w:ilvl w:val="0"/>
          <w:numId w:val="1"/>
        </w:numPr>
        <w:rPr>
          <w:spacing w:val="-6"/>
          <w:sz w:val="20"/>
          <w:szCs w:val="20"/>
        </w:rPr>
      </w:pPr>
      <w:r w:rsidRPr="00295232">
        <w:rPr>
          <w:spacing w:val="-6"/>
          <w:sz w:val="20"/>
          <w:szCs w:val="20"/>
        </w:rPr>
        <w:t>Advisory Committee reviews and provides its recommendation for or against approval of the proposed regulation to the Board of Health.</w:t>
      </w:r>
    </w:p>
    <w:p w14:paraId="7B3B7367" w14:textId="463641D5" w:rsidR="00DB1BB8" w:rsidRPr="00295232" w:rsidRDefault="00DB1BB8" w:rsidP="00B00D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5232">
        <w:rPr>
          <w:sz w:val="20"/>
          <w:szCs w:val="20"/>
        </w:rPr>
        <w:t>Board of Health reviews and approves or rejects the proposed regulation.</w:t>
      </w:r>
    </w:p>
    <w:p w14:paraId="32C71E7F" w14:textId="77777777" w:rsidR="005B131E" w:rsidRPr="00295232" w:rsidRDefault="00DB1BB8" w:rsidP="00AA4F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5232">
        <w:rPr>
          <w:sz w:val="20"/>
          <w:szCs w:val="20"/>
        </w:rPr>
        <w:t xml:space="preserve">If BOH approves the proposed regulation, </w:t>
      </w:r>
      <w:r w:rsidR="005B131E" w:rsidRPr="00295232">
        <w:rPr>
          <w:sz w:val="20"/>
          <w:szCs w:val="20"/>
        </w:rPr>
        <w:t>A</w:t>
      </w:r>
      <w:r w:rsidRPr="00295232">
        <w:rPr>
          <w:sz w:val="20"/>
          <w:szCs w:val="20"/>
        </w:rPr>
        <w:t xml:space="preserve">CHD Administration seeks approval </w:t>
      </w:r>
      <w:r w:rsidR="0044567F" w:rsidRPr="00295232">
        <w:rPr>
          <w:sz w:val="20"/>
          <w:szCs w:val="20"/>
        </w:rPr>
        <w:t xml:space="preserve">via the County Manager </w:t>
      </w:r>
      <w:r w:rsidRPr="00295232">
        <w:rPr>
          <w:sz w:val="20"/>
          <w:szCs w:val="20"/>
        </w:rPr>
        <w:t xml:space="preserve">of </w:t>
      </w:r>
      <w:r w:rsidR="005B131E" w:rsidRPr="00295232">
        <w:rPr>
          <w:sz w:val="20"/>
          <w:szCs w:val="20"/>
        </w:rPr>
        <w:t xml:space="preserve">an </w:t>
      </w:r>
      <w:r w:rsidRPr="00295232">
        <w:rPr>
          <w:sz w:val="20"/>
          <w:szCs w:val="20"/>
        </w:rPr>
        <w:t>Executive Action to submit regulation to Council</w:t>
      </w:r>
      <w:r w:rsidR="002877BB" w:rsidRPr="00295232">
        <w:rPr>
          <w:sz w:val="20"/>
          <w:szCs w:val="20"/>
        </w:rPr>
        <w:t xml:space="preserve">, </w:t>
      </w:r>
      <w:r w:rsidR="0044567F" w:rsidRPr="00295232">
        <w:rPr>
          <w:sz w:val="20"/>
          <w:szCs w:val="20"/>
        </w:rPr>
        <w:t xml:space="preserve">pending </w:t>
      </w:r>
      <w:r w:rsidR="002877BB" w:rsidRPr="00295232">
        <w:rPr>
          <w:sz w:val="20"/>
          <w:szCs w:val="20"/>
        </w:rPr>
        <w:t xml:space="preserve">the outcome of </w:t>
      </w:r>
      <w:r w:rsidR="00F56B07" w:rsidRPr="00295232">
        <w:rPr>
          <w:sz w:val="20"/>
          <w:szCs w:val="20"/>
        </w:rPr>
        <w:t>S</w:t>
      </w:r>
      <w:r w:rsidR="002877BB" w:rsidRPr="00295232">
        <w:rPr>
          <w:sz w:val="20"/>
          <w:szCs w:val="20"/>
        </w:rPr>
        <w:t xml:space="preserve">tep 12. </w:t>
      </w:r>
      <w:r w:rsidR="00F56B07" w:rsidRPr="00295232">
        <w:rPr>
          <w:sz w:val="20"/>
          <w:szCs w:val="20"/>
        </w:rPr>
        <w:t xml:space="preserve">Note: Given </w:t>
      </w:r>
      <w:r w:rsidR="004B2A7B" w:rsidRPr="00295232">
        <w:rPr>
          <w:sz w:val="20"/>
          <w:szCs w:val="20"/>
        </w:rPr>
        <w:t>new Step</w:t>
      </w:r>
      <w:r w:rsidR="00F56B07" w:rsidRPr="00295232">
        <w:rPr>
          <w:sz w:val="20"/>
          <w:szCs w:val="20"/>
        </w:rPr>
        <w:t xml:space="preserve"> 12, the necessity </w:t>
      </w:r>
      <w:r w:rsidR="002877BB" w:rsidRPr="00295232">
        <w:rPr>
          <w:sz w:val="20"/>
          <w:szCs w:val="20"/>
        </w:rPr>
        <w:t xml:space="preserve">of </w:t>
      </w:r>
      <w:r w:rsidR="00F56B07" w:rsidRPr="00295232">
        <w:rPr>
          <w:sz w:val="20"/>
          <w:szCs w:val="20"/>
        </w:rPr>
        <w:t>S</w:t>
      </w:r>
      <w:r w:rsidR="002877BB" w:rsidRPr="00295232">
        <w:rPr>
          <w:sz w:val="20"/>
          <w:szCs w:val="20"/>
        </w:rPr>
        <w:t xml:space="preserve">tep </w:t>
      </w:r>
      <w:r w:rsidR="00F56B07" w:rsidRPr="00295232">
        <w:rPr>
          <w:sz w:val="20"/>
          <w:szCs w:val="20"/>
        </w:rPr>
        <w:t xml:space="preserve">11 </w:t>
      </w:r>
      <w:r w:rsidR="002877BB" w:rsidRPr="00295232">
        <w:rPr>
          <w:sz w:val="20"/>
          <w:szCs w:val="20"/>
        </w:rPr>
        <w:t xml:space="preserve">is </w:t>
      </w:r>
      <w:r w:rsidR="00F56B07" w:rsidRPr="00295232">
        <w:rPr>
          <w:sz w:val="20"/>
          <w:szCs w:val="20"/>
        </w:rPr>
        <w:t>to be</w:t>
      </w:r>
      <w:r w:rsidR="002877BB" w:rsidRPr="00295232">
        <w:rPr>
          <w:sz w:val="20"/>
          <w:szCs w:val="20"/>
        </w:rPr>
        <w:t xml:space="preserve"> review</w:t>
      </w:r>
      <w:r w:rsidR="00F56B07" w:rsidRPr="00295232">
        <w:rPr>
          <w:sz w:val="20"/>
          <w:szCs w:val="20"/>
        </w:rPr>
        <w:t>ed</w:t>
      </w:r>
      <w:r w:rsidR="002877BB" w:rsidRPr="00295232">
        <w:rPr>
          <w:sz w:val="20"/>
          <w:szCs w:val="20"/>
        </w:rPr>
        <w:t>.</w:t>
      </w:r>
    </w:p>
    <w:p w14:paraId="1BE9B8B1" w14:textId="034B7BEA" w:rsidR="00DB1BB8" w:rsidRPr="00295232" w:rsidRDefault="00DB1BB8" w:rsidP="00B00D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5232">
        <w:rPr>
          <w:sz w:val="20"/>
          <w:szCs w:val="20"/>
        </w:rPr>
        <w:t xml:space="preserve">Once an approved Executive Action is obtained, ACHD Administration prepares and submits a proposed Ordinance </w:t>
      </w:r>
      <w:r w:rsidR="005B131E" w:rsidRPr="00295232">
        <w:rPr>
          <w:sz w:val="20"/>
          <w:szCs w:val="20"/>
        </w:rPr>
        <w:t xml:space="preserve">Package to County Government for eventual submittal to Council </w:t>
      </w:r>
      <w:r w:rsidR="006B6951" w:rsidRPr="00295232">
        <w:rPr>
          <w:sz w:val="20"/>
          <w:szCs w:val="20"/>
        </w:rPr>
        <w:t>pending</w:t>
      </w:r>
      <w:r w:rsidR="005B131E" w:rsidRPr="00295232">
        <w:rPr>
          <w:sz w:val="20"/>
          <w:szCs w:val="20"/>
        </w:rPr>
        <w:t xml:space="preserve"> discussion with</w:t>
      </w:r>
      <w:r w:rsidR="000534BF" w:rsidRPr="00295232">
        <w:rPr>
          <w:sz w:val="20"/>
          <w:szCs w:val="20"/>
        </w:rPr>
        <w:t xml:space="preserve"> </w:t>
      </w:r>
      <w:r w:rsidR="005B131E" w:rsidRPr="00295232">
        <w:rPr>
          <w:sz w:val="20"/>
          <w:szCs w:val="20"/>
        </w:rPr>
        <w:t>Chief Executive</w:t>
      </w:r>
      <w:r w:rsidR="000534BF" w:rsidRPr="00295232">
        <w:rPr>
          <w:sz w:val="20"/>
          <w:szCs w:val="20"/>
        </w:rPr>
        <w:t xml:space="preserve"> and/or Chief Executive</w:t>
      </w:r>
      <w:r w:rsidR="005B131E" w:rsidRPr="00295232">
        <w:rPr>
          <w:sz w:val="20"/>
          <w:szCs w:val="20"/>
        </w:rPr>
        <w:t>’s Staff.</w:t>
      </w:r>
    </w:p>
    <w:p w14:paraId="705F2DDF" w14:textId="292B6087" w:rsidR="00DB1BB8" w:rsidRPr="00295232" w:rsidRDefault="00DB1BB8" w:rsidP="00B00D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5232">
        <w:rPr>
          <w:sz w:val="20"/>
          <w:szCs w:val="20"/>
        </w:rPr>
        <w:t xml:space="preserve">County Council </w:t>
      </w:r>
      <w:r w:rsidR="00C53E92" w:rsidRPr="00295232">
        <w:rPr>
          <w:sz w:val="20"/>
          <w:szCs w:val="20"/>
        </w:rPr>
        <w:t xml:space="preserve">receives the proposed regulation revision/Ordinance at regularly scheduled full Council meeting and refers it to the Committee on Health &amp; Human Services, which typically </w:t>
      </w:r>
      <w:r w:rsidR="00B00DFE" w:rsidRPr="00295232">
        <w:rPr>
          <w:sz w:val="20"/>
          <w:szCs w:val="20"/>
        </w:rPr>
        <w:t>meets within</w:t>
      </w:r>
      <w:r w:rsidR="00C53E92" w:rsidRPr="00295232">
        <w:rPr>
          <w:sz w:val="20"/>
          <w:szCs w:val="20"/>
        </w:rPr>
        <w:t xml:space="preserve"> two weeks of receiving the item.</w:t>
      </w:r>
    </w:p>
    <w:p w14:paraId="0E6FC079" w14:textId="4476F51D" w:rsidR="00C53E92" w:rsidRPr="00295232" w:rsidRDefault="00C53E92" w:rsidP="00B00D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5232">
        <w:rPr>
          <w:sz w:val="20"/>
          <w:szCs w:val="20"/>
        </w:rPr>
        <w:t>The Committee on Health &amp; Human Services revi</w:t>
      </w:r>
      <w:r w:rsidR="00B00DFE" w:rsidRPr="00295232">
        <w:rPr>
          <w:sz w:val="20"/>
          <w:szCs w:val="20"/>
        </w:rPr>
        <w:t>ews and, if it is acceptable, refers the regulation revision to the full Council</w:t>
      </w:r>
      <w:r w:rsidRPr="00295232">
        <w:rPr>
          <w:sz w:val="20"/>
          <w:szCs w:val="20"/>
        </w:rPr>
        <w:t xml:space="preserve"> for approval</w:t>
      </w:r>
      <w:r w:rsidR="00B00DFE" w:rsidRPr="00295232">
        <w:rPr>
          <w:sz w:val="20"/>
          <w:szCs w:val="20"/>
        </w:rPr>
        <w:t>.</w:t>
      </w:r>
    </w:p>
    <w:p w14:paraId="70378A31" w14:textId="0B4ABA47" w:rsidR="00B00DFE" w:rsidRPr="00295232" w:rsidRDefault="00B00DFE" w:rsidP="00191F39">
      <w:pPr>
        <w:pStyle w:val="ListParagraph"/>
        <w:numPr>
          <w:ilvl w:val="0"/>
          <w:numId w:val="1"/>
        </w:numPr>
        <w:spacing w:after="0"/>
        <w:rPr>
          <w:spacing w:val="-4"/>
          <w:sz w:val="20"/>
          <w:szCs w:val="20"/>
        </w:rPr>
      </w:pPr>
      <w:r w:rsidRPr="00295232">
        <w:rPr>
          <w:spacing w:val="-4"/>
          <w:sz w:val="20"/>
          <w:szCs w:val="20"/>
        </w:rPr>
        <w:t>The full County Council reviews and, if acceptable approves the regulation revision and forwards it to the County Chief Executive for approval.</w:t>
      </w:r>
    </w:p>
    <w:p w14:paraId="1DBD6866" w14:textId="6152284F" w:rsidR="00B00DFE" w:rsidRPr="00295232" w:rsidRDefault="00B00DFE" w:rsidP="00B00D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5232">
        <w:rPr>
          <w:sz w:val="20"/>
          <w:szCs w:val="20"/>
        </w:rPr>
        <w:t>The County Chief Executive reviews and, if acceptable, approves the regulation revision.</w:t>
      </w:r>
    </w:p>
    <w:p w14:paraId="065AC86E" w14:textId="4AA4B7CB" w:rsidR="00B00DFE" w:rsidRPr="00295232" w:rsidRDefault="00B00DFE" w:rsidP="00B00D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5232">
        <w:rPr>
          <w:sz w:val="20"/>
          <w:szCs w:val="20"/>
        </w:rPr>
        <w:t>The ACHD establishes the effective date of the regulation – typically 10 days after County Executive approval.</w:t>
      </w:r>
    </w:p>
    <w:p w14:paraId="63C7E05A" w14:textId="2B1B2304" w:rsidR="00B00DFE" w:rsidRPr="00295232" w:rsidRDefault="008A0675" w:rsidP="00387798">
      <w:pPr>
        <w:rPr>
          <w:sz w:val="20"/>
          <w:szCs w:val="20"/>
        </w:rPr>
      </w:pPr>
      <w:r w:rsidRPr="00295232">
        <w:rPr>
          <w:sz w:val="20"/>
          <w:szCs w:val="20"/>
        </w:rPr>
        <w:t xml:space="preserve">Note:  </w:t>
      </w:r>
      <w:r w:rsidR="00B00DFE" w:rsidRPr="00295232">
        <w:rPr>
          <w:sz w:val="20"/>
          <w:szCs w:val="20"/>
        </w:rPr>
        <w:t xml:space="preserve">If the revised regulation is also a SIP change, following the final approval of the Chief Executive, the ACHD submits a SIP Revision Request to the PA DEP with a request that DEP approve the SIP Revision and recommended it to the U.S. EPA for EPA approval.  </w:t>
      </w:r>
      <w:r w:rsidR="002C69FC" w:rsidRPr="00295232">
        <w:rPr>
          <w:sz w:val="20"/>
          <w:szCs w:val="20"/>
        </w:rPr>
        <w:t>This table does not include the status of that process.  Relatedly, p</w:t>
      </w:r>
      <w:r w:rsidR="00EE3E38" w:rsidRPr="00295232">
        <w:rPr>
          <w:sz w:val="20"/>
          <w:szCs w:val="20"/>
        </w:rPr>
        <w:t>lease n</w:t>
      </w:r>
      <w:r w:rsidR="00DF777C" w:rsidRPr="00295232">
        <w:rPr>
          <w:sz w:val="20"/>
          <w:szCs w:val="20"/>
        </w:rPr>
        <w:t xml:space="preserve">ote that disapproval </w:t>
      </w:r>
      <w:r w:rsidR="00EE3E38" w:rsidRPr="00295232">
        <w:rPr>
          <w:sz w:val="20"/>
          <w:szCs w:val="20"/>
        </w:rPr>
        <w:t xml:space="preserve">of such a SIP Revision Request </w:t>
      </w:r>
      <w:r w:rsidR="00DF777C" w:rsidRPr="00295232">
        <w:rPr>
          <w:sz w:val="20"/>
          <w:szCs w:val="20"/>
        </w:rPr>
        <w:t>by either PA DEP or U.S. EPA does not invalidate the approval status of the County approved Article XXI regulation revision.</w:t>
      </w:r>
    </w:p>
    <w:sectPr w:rsidR="00B00DFE" w:rsidRPr="00295232" w:rsidSect="00296FF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C742A" w14:textId="77777777" w:rsidR="0024376C" w:rsidRDefault="0024376C" w:rsidP="00DA07B1">
      <w:pPr>
        <w:spacing w:after="0" w:line="240" w:lineRule="auto"/>
      </w:pPr>
      <w:r>
        <w:separator/>
      </w:r>
    </w:p>
  </w:endnote>
  <w:endnote w:type="continuationSeparator" w:id="0">
    <w:p w14:paraId="34403D2F" w14:textId="77777777" w:rsidR="0024376C" w:rsidRDefault="0024376C" w:rsidP="00DA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327E" w14:textId="77777777" w:rsidR="0015645F" w:rsidRDefault="0015645F" w:rsidP="0015645F">
    <w:pPr>
      <w:pStyle w:val="Footer"/>
      <w:tabs>
        <w:tab w:val="clear" w:pos="4680"/>
        <w:tab w:val="clear" w:pos="9360"/>
        <w:tab w:val="left" w:pos="10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F4258" w14:textId="77777777" w:rsidR="0024376C" w:rsidRDefault="0024376C" w:rsidP="00DA07B1">
      <w:pPr>
        <w:spacing w:after="0" w:line="240" w:lineRule="auto"/>
      </w:pPr>
      <w:r>
        <w:separator/>
      </w:r>
    </w:p>
  </w:footnote>
  <w:footnote w:type="continuationSeparator" w:id="0">
    <w:p w14:paraId="1A822E52" w14:textId="77777777" w:rsidR="0024376C" w:rsidRDefault="0024376C" w:rsidP="00DA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A7A8" w14:textId="1D583992" w:rsidR="009F2492" w:rsidRPr="00DA07B1" w:rsidRDefault="009F2492" w:rsidP="00727C0F">
    <w:pPr>
      <w:pStyle w:val="Header"/>
      <w:tabs>
        <w:tab w:val="clear" w:pos="9360"/>
        <w:tab w:val="right" w:pos="8640"/>
      </w:tabs>
      <w:jc w:val="center"/>
      <w:rPr>
        <w:b/>
        <w:sz w:val="36"/>
        <w:szCs w:val="36"/>
      </w:rPr>
    </w:pPr>
    <w:r w:rsidRPr="00DA07B1">
      <w:rPr>
        <w:b/>
        <w:sz w:val="36"/>
        <w:szCs w:val="36"/>
      </w:rPr>
      <w:t>REGULATIONS IN PROGRESS / STATUS TABLE</w:t>
    </w:r>
    <w:r>
      <w:rPr>
        <w:b/>
        <w:sz w:val="36"/>
        <w:szCs w:val="36"/>
      </w:rPr>
      <w:tab/>
    </w:r>
    <w:r w:rsidR="00BE3F09">
      <w:rPr>
        <w:b/>
        <w:sz w:val="36"/>
        <w:szCs w:val="36"/>
      </w:rPr>
      <w:t>1</w:t>
    </w:r>
    <w:r w:rsidR="00145E14">
      <w:rPr>
        <w:b/>
        <w:sz w:val="36"/>
        <w:szCs w:val="36"/>
      </w:rPr>
      <w:t>/</w:t>
    </w:r>
    <w:r w:rsidR="000151B7">
      <w:rPr>
        <w:b/>
        <w:sz w:val="36"/>
        <w:szCs w:val="36"/>
      </w:rPr>
      <w:t>6</w:t>
    </w:r>
    <w:r w:rsidR="00A57D52">
      <w:rPr>
        <w:b/>
        <w:sz w:val="36"/>
        <w:szCs w:val="36"/>
      </w:rPr>
      <w:t>/</w:t>
    </w:r>
    <w:r w:rsidR="007E04AE">
      <w:rPr>
        <w:b/>
        <w:sz w:val="36"/>
        <w:szCs w:val="36"/>
      </w:rPr>
      <w:t>20</w:t>
    </w:r>
    <w:r w:rsidR="0087507B">
      <w:rPr>
        <w:b/>
        <w:sz w:val="36"/>
        <w:szCs w:val="36"/>
      </w:rPr>
      <w:t>2</w:t>
    </w:r>
    <w:r w:rsidR="00B86A11">
      <w:rPr>
        <w:b/>
        <w:sz w:val="36"/>
        <w:szCs w:val="36"/>
      </w:rPr>
      <w:t>2</w:t>
    </w:r>
  </w:p>
  <w:p w14:paraId="0037AE94" w14:textId="77777777" w:rsidR="009F2492" w:rsidRDefault="009F2492" w:rsidP="00727C0F">
    <w:pPr>
      <w:pStyle w:val="Header"/>
      <w:jc w:val="center"/>
      <w:rPr>
        <w:sz w:val="24"/>
        <w:szCs w:val="24"/>
      </w:rPr>
    </w:pPr>
    <w:r w:rsidRPr="00C5465F">
      <w:rPr>
        <w:sz w:val="24"/>
        <w:szCs w:val="24"/>
      </w:rPr>
      <w:t>Status of Pending Allegheny County Health Department Air Pollution Control Regulation Revisions</w:t>
    </w:r>
  </w:p>
  <w:p w14:paraId="73310F5F" w14:textId="77777777" w:rsidR="00901F7A" w:rsidRDefault="00901F7A" w:rsidP="00727C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833"/>
    <w:multiLevelType w:val="hybridMultilevel"/>
    <w:tmpl w:val="F4AC319A"/>
    <w:lvl w:ilvl="0" w:tplc="9BC44F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5BC0"/>
    <w:multiLevelType w:val="hybridMultilevel"/>
    <w:tmpl w:val="219A9CA0"/>
    <w:lvl w:ilvl="0" w:tplc="8A5423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DBB"/>
    <w:multiLevelType w:val="hybridMultilevel"/>
    <w:tmpl w:val="1746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210F"/>
    <w:multiLevelType w:val="hybridMultilevel"/>
    <w:tmpl w:val="C47C6BB4"/>
    <w:lvl w:ilvl="0" w:tplc="89DC62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075BF"/>
    <w:multiLevelType w:val="hybridMultilevel"/>
    <w:tmpl w:val="64F2EEFA"/>
    <w:lvl w:ilvl="0" w:tplc="2A986D8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F0E4C"/>
    <w:multiLevelType w:val="hybridMultilevel"/>
    <w:tmpl w:val="46A48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99"/>
    <w:rsid w:val="000005D1"/>
    <w:rsid w:val="00001184"/>
    <w:rsid w:val="000059E7"/>
    <w:rsid w:val="000076FB"/>
    <w:rsid w:val="0000777F"/>
    <w:rsid w:val="00011961"/>
    <w:rsid w:val="000139CF"/>
    <w:rsid w:val="00014332"/>
    <w:rsid w:val="000151B7"/>
    <w:rsid w:val="000160EA"/>
    <w:rsid w:val="00016936"/>
    <w:rsid w:val="00020B52"/>
    <w:rsid w:val="000215FB"/>
    <w:rsid w:val="000250FD"/>
    <w:rsid w:val="00025439"/>
    <w:rsid w:val="00033147"/>
    <w:rsid w:val="00033648"/>
    <w:rsid w:val="000361F3"/>
    <w:rsid w:val="000371AF"/>
    <w:rsid w:val="000437FA"/>
    <w:rsid w:val="00046454"/>
    <w:rsid w:val="00047D86"/>
    <w:rsid w:val="0005049C"/>
    <w:rsid w:val="00051DD6"/>
    <w:rsid w:val="00052661"/>
    <w:rsid w:val="000531F0"/>
    <w:rsid w:val="000534BF"/>
    <w:rsid w:val="0005478B"/>
    <w:rsid w:val="00054FF3"/>
    <w:rsid w:val="00055D86"/>
    <w:rsid w:val="0005712F"/>
    <w:rsid w:val="000618BC"/>
    <w:rsid w:val="00062E5E"/>
    <w:rsid w:val="00064628"/>
    <w:rsid w:val="00066105"/>
    <w:rsid w:val="00066476"/>
    <w:rsid w:val="00075A34"/>
    <w:rsid w:val="000813A3"/>
    <w:rsid w:val="000A52B6"/>
    <w:rsid w:val="000A60E7"/>
    <w:rsid w:val="000A7C6A"/>
    <w:rsid w:val="000C2697"/>
    <w:rsid w:val="000C2B31"/>
    <w:rsid w:val="000C445E"/>
    <w:rsid w:val="000C6AE5"/>
    <w:rsid w:val="000C7B35"/>
    <w:rsid w:val="000D0FC1"/>
    <w:rsid w:val="000D2480"/>
    <w:rsid w:val="000D3C9D"/>
    <w:rsid w:val="000D7486"/>
    <w:rsid w:val="000D7F1C"/>
    <w:rsid w:val="000E0975"/>
    <w:rsid w:val="000E1385"/>
    <w:rsid w:val="000E27AB"/>
    <w:rsid w:val="000F2043"/>
    <w:rsid w:val="000F3F26"/>
    <w:rsid w:val="000F6C52"/>
    <w:rsid w:val="0010056D"/>
    <w:rsid w:val="0010286B"/>
    <w:rsid w:val="0010770A"/>
    <w:rsid w:val="00111B4E"/>
    <w:rsid w:val="00115FB2"/>
    <w:rsid w:val="00116F0C"/>
    <w:rsid w:val="001174E2"/>
    <w:rsid w:val="00117B72"/>
    <w:rsid w:val="001204D6"/>
    <w:rsid w:val="0012069B"/>
    <w:rsid w:val="00131898"/>
    <w:rsid w:val="00133112"/>
    <w:rsid w:val="0013339E"/>
    <w:rsid w:val="001369F3"/>
    <w:rsid w:val="00145E14"/>
    <w:rsid w:val="00152F0E"/>
    <w:rsid w:val="0015645F"/>
    <w:rsid w:val="00165D88"/>
    <w:rsid w:val="001679E3"/>
    <w:rsid w:val="00184221"/>
    <w:rsid w:val="001849ED"/>
    <w:rsid w:val="00185707"/>
    <w:rsid w:val="00186A4D"/>
    <w:rsid w:val="00191F39"/>
    <w:rsid w:val="00192C6A"/>
    <w:rsid w:val="00193968"/>
    <w:rsid w:val="001A4447"/>
    <w:rsid w:val="001A5CEA"/>
    <w:rsid w:val="001A660F"/>
    <w:rsid w:val="001A68FE"/>
    <w:rsid w:val="001A759D"/>
    <w:rsid w:val="001B1FC2"/>
    <w:rsid w:val="001B5DA2"/>
    <w:rsid w:val="001B76E1"/>
    <w:rsid w:val="001C479A"/>
    <w:rsid w:val="001C695E"/>
    <w:rsid w:val="001C7D84"/>
    <w:rsid w:val="001E0AF0"/>
    <w:rsid w:val="001E1599"/>
    <w:rsid w:val="001E257C"/>
    <w:rsid w:val="001E36C4"/>
    <w:rsid w:val="001E3795"/>
    <w:rsid w:val="001E58BD"/>
    <w:rsid w:val="001E7087"/>
    <w:rsid w:val="001F0412"/>
    <w:rsid w:val="001F055C"/>
    <w:rsid w:val="001F7539"/>
    <w:rsid w:val="00202A81"/>
    <w:rsid w:val="002051D8"/>
    <w:rsid w:val="0021217C"/>
    <w:rsid w:val="00214573"/>
    <w:rsid w:val="0022008E"/>
    <w:rsid w:val="002222E0"/>
    <w:rsid w:val="002251BC"/>
    <w:rsid w:val="00227ECB"/>
    <w:rsid w:val="002404CB"/>
    <w:rsid w:val="0024376C"/>
    <w:rsid w:val="002451DA"/>
    <w:rsid w:val="00245977"/>
    <w:rsid w:val="00251EC7"/>
    <w:rsid w:val="00254DE0"/>
    <w:rsid w:val="00255D7E"/>
    <w:rsid w:val="00256ED1"/>
    <w:rsid w:val="0027177D"/>
    <w:rsid w:val="00276EBF"/>
    <w:rsid w:val="00282F04"/>
    <w:rsid w:val="00283469"/>
    <w:rsid w:val="00283B12"/>
    <w:rsid w:val="00284C96"/>
    <w:rsid w:val="002861D5"/>
    <w:rsid w:val="00286268"/>
    <w:rsid w:val="002877BB"/>
    <w:rsid w:val="00293C03"/>
    <w:rsid w:val="00295232"/>
    <w:rsid w:val="00295B14"/>
    <w:rsid w:val="00295BD9"/>
    <w:rsid w:val="00296FF5"/>
    <w:rsid w:val="00297451"/>
    <w:rsid w:val="002A2011"/>
    <w:rsid w:val="002B0ACE"/>
    <w:rsid w:val="002B71C1"/>
    <w:rsid w:val="002B71CB"/>
    <w:rsid w:val="002C1F8F"/>
    <w:rsid w:val="002C69FC"/>
    <w:rsid w:val="002C6A66"/>
    <w:rsid w:val="002E30DB"/>
    <w:rsid w:val="002E5266"/>
    <w:rsid w:val="002E638E"/>
    <w:rsid w:val="002F1C02"/>
    <w:rsid w:val="002F561A"/>
    <w:rsid w:val="00304005"/>
    <w:rsid w:val="00304105"/>
    <w:rsid w:val="003101DD"/>
    <w:rsid w:val="00312A55"/>
    <w:rsid w:val="00320F7D"/>
    <w:rsid w:val="0032171C"/>
    <w:rsid w:val="00325A71"/>
    <w:rsid w:val="003273F5"/>
    <w:rsid w:val="00331653"/>
    <w:rsid w:val="003329E5"/>
    <w:rsid w:val="00332F2F"/>
    <w:rsid w:val="00341029"/>
    <w:rsid w:val="00342827"/>
    <w:rsid w:val="003438AF"/>
    <w:rsid w:val="003458F8"/>
    <w:rsid w:val="00352667"/>
    <w:rsid w:val="00354B17"/>
    <w:rsid w:val="003569AF"/>
    <w:rsid w:val="00360DDE"/>
    <w:rsid w:val="00361BEE"/>
    <w:rsid w:val="003646D7"/>
    <w:rsid w:val="0036569A"/>
    <w:rsid w:val="003671A2"/>
    <w:rsid w:val="0038207D"/>
    <w:rsid w:val="003849E1"/>
    <w:rsid w:val="00387798"/>
    <w:rsid w:val="00391129"/>
    <w:rsid w:val="003927E6"/>
    <w:rsid w:val="00393EE7"/>
    <w:rsid w:val="0039680C"/>
    <w:rsid w:val="003A638A"/>
    <w:rsid w:val="003A77D7"/>
    <w:rsid w:val="003B10BA"/>
    <w:rsid w:val="003B1D48"/>
    <w:rsid w:val="003B4178"/>
    <w:rsid w:val="003B4A59"/>
    <w:rsid w:val="003C2B72"/>
    <w:rsid w:val="003C4E37"/>
    <w:rsid w:val="003D4F1D"/>
    <w:rsid w:val="003E245C"/>
    <w:rsid w:val="003E3654"/>
    <w:rsid w:val="003F2B91"/>
    <w:rsid w:val="003F61AB"/>
    <w:rsid w:val="003F79BA"/>
    <w:rsid w:val="00400410"/>
    <w:rsid w:val="00402B26"/>
    <w:rsid w:val="004055A1"/>
    <w:rsid w:val="004118CE"/>
    <w:rsid w:val="00415A78"/>
    <w:rsid w:val="00416927"/>
    <w:rsid w:val="00420EF8"/>
    <w:rsid w:val="0043254B"/>
    <w:rsid w:val="0044567F"/>
    <w:rsid w:val="0045170C"/>
    <w:rsid w:val="00451728"/>
    <w:rsid w:val="004523B3"/>
    <w:rsid w:val="004534A6"/>
    <w:rsid w:val="00470441"/>
    <w:rsid w:val="00470776"/>
    <w:rsid w:val="00472D8A"/>
    <w:rsid w:val="00477846"/>
    <w:rsid w:val="004814E9"/>
    <w:rsid w:val="00481BF5"/>
    <w:rsid w:val="004843B1"/>
    <w:rsid w:val="00493994"/>
    <w:rsid w:val="004944E5"/>
    <w:rsid w:val="00495159"/>
    <w:rsid w:val="004A2BDB"/>
    <w:rsid w:val="004A5459"/>
    <w:rsid w:val="004A5CBA"/>
    <w:rsid w:val="004A771B"/>
    <w:rsid w:val="004A7C62"/>
    <w:rsid w:val="004B29C5"/>
    <w:rsid w:val="004B2A7B"/>
    <w:rsid w:val="004B5F2B"/>
    <w:rsid w:val="004D2AA5"/>
    <w:rsid w:val="004D7173"/>
    <w:rsid w:val="004D7F36"/>
    <w:rsid w:val="004F2360"/>
    <w:rsid w:val="004F57A8"/>
    <w:rsid w:val="004F5E20"/>
    <w:rsid w:val="004F715A"/>
    <w:rsid w:val="004F7449"/>
    <w:rsid w:val="00501147"/>
    <w:rsid w:val="00503F71"/>
    <w:rsid w:val="00514789"/>
    <w:rsid w:val="00515F95"/>
    <w:rsid w:val="00516328"/>
    <w:rsid w:val="00516844"/>
    <w:rsid w:val="00527121"/>
    <w:rsid w:val="00527D5F"/>
    <w:rsid w:val="005309EE"/>
    <w:rsid w:val="00531FFA"/>
    <w:rsid w:val="00540418"/>
    <w:rsid w:val="0054089D"/>
    <w:rsid w:val="0054424B"/>
    <w:rsid w:val="00544CAF"/>
    <w:rsid w:val="00544D71"/>
    <w:rsid w:val="00545AF4"/>
    <w:rsid w:val="0055120A"/>
    <w:rsid w:val="005512AC"/>
    <w:rsid w:val="005519A0"/>
    <w:rsid w:val="00556BAA"/>
    <w:rsid w:val="00562465"/>
    <w:rsid w:val="0056550B"/>
    <w:rsid w:val="0056620F"/>
    <w:rsid w:val="005743CB"/>
    <w:rsid w:val="005821E2"/>
    <w:rsid w:val="00586917"/>
    <w:rsid w:val="00587D20"/>
    <w:rsid w:val="005931E3"/>
    <w:rsid w:val="0059333A"/>
    <w:rsid w:val="0059479C"/>
    <w:rsid w:val="0059745B"/>
    <w:rsid w:val="005A325C"/>
    <w:rsid w:val="005A3ABE"/>
    <w:rsid w:val="005A4B1B"/>
    <w:rsid w:val="005A7EE7"/>
    <w:rsid w:val="005B131E"/>
    <w:rsid w:val="005C2EC5"/>
    <w:rsid w:val="005C2FDB"/>
    <w:rsid w:val="005C4AA3"/>
    <w:rsid w:val="005C55B1"/>
    <w:rsid w:val="005C5ECB"/>
    <w:rsid w:val="005E7C83"/>
    <w:rsid w:val="005F1A41"/>
    <w:rsid w:val="005F2A75"/>
    <w:rsid w:val="005F6835"/>
    <w:rsid w:val="006001ED"/>
    <w:rsid w:val="0060188F"/>
    <w:rsid w:val="00601BE1"/>
    <w:rsid w:val="00604B32"/>
    <w:rsid w:val="00617ADF"/>
    <w:rsid w:val="00625B30"/>
    <w:rsid w:val="00630AA4"/>
    <w:rsid w:val="0063730F"/>
    <w:rsid w:val="00637E39"/>
    <w:rsid w:val="006513EB"/>
    <w:rsid w:val="0065358C"/>
    <w:rsid w:val="006610AE"/>
    <w:rsid w:val="00663EA8"/>
    <w:rsid w:val="006655C9"/>
    <w:rsid w:val="00666B7D"/>
    <w:rsid w:val="00684EAA"/>
    <w:rsid w:val="00685903"/>
    <w:rsid w:val="006859D1"/>
    <w:rsid w:val="00691873"/>
    <w:rsid w:val="006918B7"/>
    <w:rsid w:val="00693EB9"/>
    <w:rsid w:val="006940A2"/>
    <w:rsid w:val="00695B2F"/>
    <w:rsid w:val="006B077A"/>
    <w:rsid w:val="006B2818"/>
    <w:rsid w:val="006B43D7"/>
    <w:rsid w:val="006B6951"/>
    <w:rsid w:val="006C70FD"/>
    <w:rsid w:val="006D7E45"/>
    <w:rsid w:val="006E318A"/>
    <w:rsid w:val="006E4C5E"/>
    <w:rsid w:val="006E5326"/>
    <w:rsid w:val="006F2BEE"/>
    <w:rsid w:val="007027EA"/>
    <w:rsid w:val="00704617"/>
    <w:rsid w:val="0071656C"/>
    <w:rsid w:val="00727C0F"/>
    <w:rsid w:val="00732076"/>
    <w:rsid w:val="007331BB"/>
    <w:rsid w:val="00736756"/>
    <w:rsid w:val="00737BFE"/>
    <w:rsid w:val="007405AE"/>
    <w:rsid w:val="007423C5"/>
    <w:rsid w:val="00745148"/>
    <w:rsid w:val="00752CA3"/>
    <w:rsid w:val="0075554E"/>
    <w:rsid w:val="00756E80"/>
    <w:rsid w:val="00760F69"/>
    <w:rsid w:val="00764B10"/>
    <w:rsid w:val="00766740"/>
    <w:rsid w:val="0077463E"/>
    <w:rsid w:val="00775DB7"/>
    <w:rsid w:val="007765DD"/>
    <w:rsid w:val="00786EC2"/>
    <w:rsid w:val="00787D3E"/>
    <w:rsid w:val="007907A6"/>
    <w:rsid w:val="00793501"/>
    <w:rsid w:val="007A0176"/>
    <w:rsid w:val="007A3B32"/>
    <w:rsid w:val="007A6A6A"/>
    <w:rsid w:val="007A7149"/>
    <w:rsid w:val="007B4B5A"/>
    <w:rsid w:val="007B73C9"/>
    <w:rsid w:val="007B7FE7"/>
    <w:rsid w:val="007C1116"/>
    <w:rsid w:val="007C524C"/>
    <w:rsid w:val="007C53DB"/>
    <w:rsid w:val="007C563B"/>
    <w:rsid w:val="007D33F2"/>
    <w:rsid w:val="007E04AE"/>
    <w:rsid w:val="007E055E"/>
    <w:rsid w:val="007E445D"/>
    <w:rsid w:val="007E51CF"/>
    <w:rsid w:val="007F03AE"/>
    <w:rsid w:val="007F080D"/>
    <w:rsid w:val="007F0EB8"/>
    <w:rsid w:val="007F28B7"/>
    <w:rsid w:val="007F3A80"/>
    <w:rsid w:val="00801FCA"/>
    <w:rsid w:val="008037A6"/>
    <w:rsid w:val="00803994"/>
    <w:rsid w:val="00805D4E"/>
    <w:rsid w:val="00805E39"/>
    <w:rsid w:val="00810C2B"/>
    <w:rsid w:val="00812BBB"/>
    <w:rsid w:val="0081450C"/>
    <w:rsid w:val="00815535"/>
    <w:rsid w:val="00815886"/>
    <w:rsid w:val="00820082"/>
    <w:rsid w:val="00821769"/>
    <w:rsid w:val="00821A9D"/>
    <w:rsid w:val="00821BC8"/>
    <w:rsid w:val="00823AE8"/>
    <w:rsid w:val="00823F02"/>
    <w:rsid w:val="00824564"/>
    <w:rsid w:val="0082782D"/>
    <w:rsid w:val="00832227"/>
    <w:rsid w:val="00835326"/>
    <w:rsid w:val="00835C92"/>
    <w:rsid w:val="00847B7A"/>
    <w:rsid w:val="00850DC5"/>
    <w:rsid w:val="008526C1"/>
    <w:rsid w:val="00862710"/>
    <w:rsid w:val="00862ECC"/>
    <w:rsid w:val="008651BE"/>
    <w:rsid w:val="008674E2"/>
    <w:rsid w:val="00870B89"/>
    <w:rsid w:val="00870FF0"/>
    <w:rsid w:val="008713A0"/>
    <w:rsid w:val="0087300E"/>
    <w:rsid w:val="0087361A"/>
    <w:rsid w:val="00873664"/>
    <w:rsid w:val="0087507B"/>
    <w:rsid w:val="00881003"/>
    <w:rsid w:val="00882185"/>
    <w:rsid w:val="00884DB8"/>
    <w:rsid w:val="00885EE7"/>
    <w:rsid w:val="00891EED"/>
    <w:rsid w:val="00892692"/>
    <w:rsid w:val="008939A5"/>
    <w:rsid w:val="008A0675"/>
    <w:rsid w:val="008B1C16"/>
    <w:rsid w:val="008B23DD"/>
    <w:rsid w:val="008B4309"/>
    <w:rsid w:val="008C31BC"/>
    <w:rsid w:val="008D6FA5"/>
    <w:rsid w:val="008F215B"/>
    <w:rsid w:val="008F379F"/>
    <w:rsid w:val="008F4BE7"/>
    <w:rsid w:val="008F6935"/>
    <w:rsid w:val="00900B0C"/>
    <w:rsid w:val="00901F7A"/>
    <w:rsid w:val="00904E4A"/>
    <w:rsid w:val="00910111"/>
    <w:rsid w:val="0091148C"/>
    <w:rsid w:val="00914A59"/>
    <w:rsid w:val="00926282"/>
    <w:rsid w:val="00933163"/>
    <w:rsid w:val="00934E47"/>
    <w:rsid w:val="009406D3"/>
    <w:rsid w:val="009418E1"/>
    <w:rsid w:val="0094598A"/>
    <w:rsid w:val="009463F7"/>
    <w:rsid w:val="0094644D"/>
    <w:rsid w:val="0094654B"/>
    <w:rsid w:val="00947095"/>
    <w:rsid w:val="009473EB"/>
    <w:rsid w:val="009477B0"/>
    <w:rsid w:val="0095031D"/>
    <w:rsid w:val="0095085A"/>
    <w:rsid w:val="00954658"/>
    <w:rsid w:val="00960ACF"/>
    <w:rsid w:val="00960D77"/>
    <w:rsid w:val="00963E73"/>
    <w:rsid w:val="00983B5F"/>
    <w:rsid w:val="0098531C"/>
    <w:rsid w:val="0099180B"/>
    <w:rsid w:val="00993919"/>
    <w:rsid w:val="00994555"/>
    <w:rsid w:val="009973FF"/>
    <w:rsid w:val="00997B87"/>
    <w:rsid w:val="009A048D"/>
    <w:rsid w:val="009A12AC"/>
    <w:rsid w:val="009A2D00"/>
    <w:rsid w:val="009A72CF"/>
    <w:rsid w:val="009B3593"/>
    <w:rsid w:val="009B3DFA"/>
    <w:rsid w:val="009B4540"/>
    <w:rsid w:val="009C1321"/>
    <w:rsid w:val="009D330A"/>
    <w:rsid w:val="009E2692"/>
    <w:rsid w:val="009E78D3"/>
    <w:rsid w:val="009F1BC2"/>
    <w:rsid w:val="009F2492"/>
    <w:rsid w:val="009F2780"/>
    <w:rsid w:val="00A01D2A"/>
    <w:rsid w:val="00A03E9E"/>
    <w:rsid w:val="00A068E7"/>
    <w:rsid w:val="00A131CC"/>
    <w:rsid w:val="00A2357A"/>
    <w:rsid w:val="00A25899"/>
    <w:rsid w:val="00A363D8"/>
    <w:rsid w:val="00A371AC"/>
    <w:rsid w:val="00A40FC8"/>
    <w:rsid w:val="00A42193"/>
    <w:rsid w:val="00A42DC9"/>
    <w:rsid w:val="00A463ED"/>
    <w:rsid w:val="00A556F8"/>
    <w:rsid w:val="00A5622E"/>
    <w:rsid w:val="00A5797D"/>
    <w:rsid w:val="00A57A5C"/>
    <w:rsid w:val="00A57D52"/>
    <w:rsid w:val="00A607D3"/>
    <w:rsid w:val="00A63666"/>
    <w:rsid w:val="00A6492D"/>
    <w:rsid w:val="00A649A0"/>
    <w:rsid w:val="00A6542B"/>
    <w:rsid w:val="00A72606"/>
    <w:rsid w:val="00A7675F"/>
    <w:rsid w:val="00A815E5"/>
    <w:rsid w:val="00A81ADD"/>
    <w:rsid w:val="00A81EB4"/>
    <w:rsid w:val="00A844A8"/>
    <w:rsid w:val="00A95192"/>
    <w:rsid w:val="00A972AA"/>
    <w:rsid w:val="00AA4972"/>
    <w:rsid w:val="00AA4F8F"/>
    <w:rsid w:val="00AB098A"/>
    <w:rsid w:val="00AB3306"/>
    <w:rsid w:val="00AB43DD"/>
    <w:rsid w:val="00AB7158"/>
    <w:rsid w:val="00AD4AB6"/>
    <w:rsid w:val="00AD6512"/>
    <w:rsid w:val="00AD6D36"/>
    <w:rsid w:val="00AD6D86"/>
    <w:rsid w:val="00AE096F"/>
    <w:rsid w:val="00AE0B6F"/>
    <w:rsid w:val="00AE0E36"/>
    <w:rsid w:val="00AE2B56"/>
    <w:rsid w:val="00AE5980"/>
    <w:rsid w:val="00AF3BEA"/>
    <w:rsid w:val="00AF6D6B"/>
    <w:rsid w:val="00B00A28"/>
    <w:rsid w:val="00B00DFE"/>
    <w:rsid w:val="00B02A1A"/>
    <w:rsid w:val="00B11AC2"/>
    <w:rsid w:val="00B12DA9"/>
    <w:rsid w:val="00B13398"/>
    <w:rsid w:val="00B16F2C"/>
    <w:rsid w:val="00B2088E"/>
    <w:rsid w:val="00B22BA1"/>
    <w:rsid w:val="00B233D2"/>
    <w:rsid w:val="00B27188"/>
    <w:rsid w:val="00B31A92"/>
    <w:rsid w:val="00B3413A"/>
    <w:rsid w:val="00B4164A"/>
    <w:rsid w:val="00B4428D"/>
    <w:rsid w:val="00B44B2E"/>
    <w:rsid w:val="00B520F2"/>
    <w:rsid w:val="00B56624"/>
    <w:rsid w:val="00B57608"/>
    <w:rsid w:val="00B70369"/>
    <w:rsid w:val="00B708EA"/>
    <w:rsid w:val="00B709CC"/>
    <w:rsid w:val="00B72201"/>
    <w:rsid w:val="00B74629"/>
    <w:rsid w:val="00B76A73"/>
    <w:rsid w:val="00B81854"/>
    <w:rsid w:val="00B850BE"/>
    <w:rsid w:val="00B85BC5"/>
    <w:rsid w:val="00B86A11"/>
    <w:rsid w:val="00B9069F"/>
    <w:rsid w:val="00B92939"/>
    <w:rsid w:val="00B95CE7"/>
    <w:rsid w:val="00B97DC6"/>
    <w:rsid w:val="00BA2717"/>
    <w:rsid w:val="00BA5D86"/>
    <w:rsid w:val="00BA674D"/>
    <w:rsid w:val="00BA7AC6"/>
    <w:rsid w:val="00BB3046"/>
    <w:rsid w:val="00BB4C5E"/>
    <w:rsid w:val="00BC5EA7"/>
    <w:rsid w:val="00BD074C"/>
    <w:rsid w:val="00BD77D1"/>
    <w:rsid w:val="00BE3F09"/>
    <w:rsid w:val="00BE4475"/>
    <w:rsid w:val="00BE67E3"/>
    <w:rsid w:val="00BF59C0"/>
    <w:rsid w:val="00C01A4A"/>
    <w:rsid w:val="00C114E7"/>
    <w:rsid w:val="00C11C97"/>
    <w:rsid w:val="00C120D8"/>
    <w:rsid w:val="00C17983"/>
    <w:rsid w:val="00C17A1C"/>
    <w:rsid w:val="00C270B0"/>
    <w:rsid w:val="00C27A6B"/>
    <w:rsid w:val="00C4565A"/>
    <w:rsid w:val="00C517D2"/>
    <w:rsid w:val="00C53D72"/>
    <w:rsid w:val="00C53E92"/>
    <w:rsid w:val="00C5465F"/>
    <w:rsid w:val="00C6204F"/>
    <w:rsid w:val="00C62C21"/>
    <w:rsid w:val="00C63E0A"/>
    <w:rsid w:val="00C6434A"/>
    <w:rsid w:val="00C6485D"/>
    <w:rsid w:val="00C676E5"/>
    <w:rsid w:val="00C7496E"/>
    <w:rsid w:val="00C753EB"/>
    <w:rsid w:val="00C86D08"/>
    <w:rsid w:val="00C9018D"/>
    <w:rsid w:val="00CA0D10"/>
    <w:rsid w:val="00CA1C7C"/>
    <w:rsid w:val="00CB1429"/>
    <w:rsid w:val="00CB4F7E"/>
    <w:rsid w:val="00CC30FB"/>
    <w:rsid w:val="00CC31B7"/>
    <w:rsid w:val="00CC3DC2"/>
    <w:rsid w:val="00CD4121"/>
    <w:rsid w:val="00CE5199"/>
    <w:rsid w:val="00CE7348"/>
    <w:rsid w:val="00CF0E30"/>
    <w:rsid w:val="00CF1249"/>
    <w:rsid w:val="00D072EF"/>
    <w:rsid w:val="00D1346E"/>
    <w:rsid w:val="00D15F68"/>
    <w:rsid w:val="00D16C3C"/>
    <w:rsid w:val="00D24013"/>
    <w:rsid w:val="00D25ACB"/>
    <w:rsid w:val="00D2620B"/>
    <w:rsid w:val="00D36D15"/>
    <w:rsid w:val="00D41F12"/>
    <w:rsid w:val="00D426B9"/>
    <w:rsid w:val="00D42C2F"/>
    <w:rsid w:val="00D43B30"/>
    <w:rsid w:val="00D53361"/>
    <w:rsid w:val="00D57896"/>
    <w:rsid w:val="00D631FD"/>
    <w:rsid w:val="00D66CED"/>
    <w:rsid w:val="00D67C91"/>
    <w:rsid w:val="00D71EB8"/>
    <w:rsid w:val="00D7269A"/>
    <w:rsid w:val="00D727F2"/>
    <w:rsid w:val="00D73304"/>
    <w:rsid w:val="00D742B1"/>
    <w:rsid w:val="00D81B46"/>
    <w:rsid w:val="00D827AB"/>
    <w:rsid w:val="00D82952"/>
    <w:rsid w:val="00D905F2"/>
    <w:rsid w:val="00D9353D"/>
    <w:rsid w:val="00D93FE6"/>
    <w:rsid w:val="00DA07B1"/>
    <w:rsid w:val="00DA0941"/>
    <w:rsid w:val="00DB013A"/>
    <w:rsid w:val="00DB1567"/>
    <w:rsid w:val="00DB1BB8"/>
    <w:rsid w:val="00DB3077"/>
    <w:rsid w:val="00DB6E9A"/>
    <w:rsid w:val="00DC2684"/>
    <w:rsid w:val="00DE3B66"/>
    <w:rsid w:val="00DE400B"/>
    <w:rsid w:val="00DE4855"/>
    <w:rsid w:val="00DF6B0A"/>
    <w:rsid w:val="00DF777C"/>
    <w:rsid w:val="00E04E77"/>
    <w:rsid w:val="00E14B1D"/>
    <w:rsid w:val="00E2120A"/>
    <w:rsid w:val="00E21D09"/>
    <w:rsid w:val="00E22589"/>
    <w:rsid w:val="00E24DEB"/>
    <w:rsid w:val="00E2639C"/>
    <w:rsid w:val="00E27D94"/>
    <w:rsid w:val="00E3294A"/>
    <w:rsid w:val="00E37F7F"/>
    <w:rsid w:val="00E41AAD"/>
    <w:rsid w:val="00E43356"/>
    <w:rsid w:val="00E46090"/>
    <w:rsid w:val="00E47DD1"/>
    <w:rsid w:val="00E50767"/>
    <w:rsid w:val="00E51453"/>
    <w:rsid w:val="00E51C1C"/>
    <w:rsid w:val="00E60EC0"/>
    <w:rsid w:val="00E6349D"/>
    <w:rsid w:val="00E65729"/>
    <w:rsid w:val="00E74A85"/>
    <w:rsid w:val="00E74C5B"/>
    <w:rsid w:val="00E75104"/>
    <w:rsid w:val="00E81680"/>
    <w:rsid w:val="00E826AF"/>
    <w:rsid w:val="00E85340"/>
    <w:rsid w:val="00E95E73"/>
    <w:rsid w:val="00E95ED5"/>
    <w:rsid w:val="00EA208A"/>
    <w:rsid w:val="00EA438C"/>
    <w:rsid w:val="00EA5FC8"/>
    <w:rsid w:val="00EB4626"/>
    <w:rsid w:val="00EB4677"/>
    <w:rsid w:val="00EC3BC9"/>
    <w:rsid w:val="00EC3F1E"/>
    <w:rsid w:val="00ED10C8"/>
    <w:rsid w:val="00ED1383"/>
    <w:rsid w:val="00ED1C1A"/>
    <w:rsid w:val="00ED5F04"/>
    <w:rsid w:val="00EE3168"/>
    <w:rsid w:val="00EE3E38"/>
    <w:rsid w:val="00EF0694"/>
    <w:rsid w:val="00EF1D31"/>
    <w:rsid w:val="00F0030C"/>
    <w:rsid w:val="00F01CA2"/>
    <w:rsid w:val="00F02DED"/>
    <w:rsid w:val="00F04057"/>
    <w:rsid w:val="00F14BA6"/>
    <w:rsid w:val="00F179C3"/>
    <w:rsid w:val="00F26472"/>
    <w:rsid w:val="00F3469A"/>
    <w:rsid w:val="00F37F42"/>
    <w:rsid w:val="00F42BFB"/>
    <w:rsid w:val="00F44494"/>
    <w:rsid w:val="00F46659"/>
    <w:rsid w:val="00F46730"/>
    <w:rsid w:val="00F47FC8"/>
    <w:rsid w:val="00F5626E"/>
    <w:rsid w:val="00F56B07"/>
    <w:rsid w:val="00F56FFF"/>
    <w:rsid w:val="00F61A51"/>
    <w:rsid w:val="00F66485"/>
    <w:rsid w:val="00F70F66"/>
    <w:rsid w:val="00F829EA"/>
    <w:rsid w:val="00F84C14"/>
    <w:rsid w:val="00FA1476"/>
    <w:rsid w:val="00FA34D4"/>
    <w:rsid w:val="00FB5584"/>
    <w:rsid w:val="00FC294F"/>
    <w:rsid w:val="00FC4A5A"/>
    <w:rsid w:val="00FC528C"/>
    <w:rsid w:val="00FD6A4F"/>
    <w:rsid w:val="00FE0308"/>
    <w:rsid w:val="00FE156F"/>
    <w:rsid w:val="00FE157A"/>
    <w:rsid w:val="00FE19EE"/>
    <w:rsid w:val="00FE63BF"/>
    <w:rsid w:val="00FE74CA"/>
    <w:rsid w:val="00FF36ED"/>
    <w:rsid w:val="00FF395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E102E86"/>
  <w15:docId w15:val="{A6B689A9-8E17-4713-B4D5-AFA372BA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B1"/>
  </w:style>
  <w:style w:type="paragraph" w:styleId="Footer">
    <w:name w:val="footer"/>
    <w:basedOn w:val="Normal"/>
    <w:link w:val="FooterChar"/>
    <w:uiPriority w:val="99"/>
    <w:unhideWhenUsed/>
    <w:rsid w:val="00DA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7B1"/>
  </w:style>
  <w:style w:type="paragraph" w:styleId="BalloonText">
    <w:name w:val="Balloon Text"/>
    <w:basedOn w:val="Normal"/>
    <w:link w:val="BalloonTextChar"/>
    <w:uiPriority w:val="99"/>
    <w:semiHidden/>
    <w:unhideWhenUsed/>
    <w:rsid w:val="00DA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F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9FF9-EEA1-475F-86C9-03D57B87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Lattner, Tom</dc:creator>
  <cp:lastModifiedBy>Lattner, Tom</cp:lastModifiedBy>
  <cp:revision>2</cp:revision>
  <cp:lastPrinted>2021-09-07T20:38:00Z</cp:lastPrinted>
  <dcterms:created xsi:type="dcterms:W3CDTF">2022-01-06T20:58:00Z</dcterms:created>
  <dcterms:modified xsi:type="dcterms:W3CDTF">2022-01-06T20:58:00Z</dcterms:modified>
</cp:coreProperties>
</file>